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4548B">
      <w:pPr>
        <w:pStyle w:val="10"/>
        <w:keepNext w:val="0"/>
        <w:keepLines w:val="0"/>
        <w:pageBreakBefore w:val="0"/>
        <w:widowControl w:val="0"/>
        <w:kinsoku/>
        <w:wordWrap/>
        <w:overflowPunct w:val="0"/>
        <w:topLinePunct/>
        <w:autoSpaceDE w:val="0"/>
        <w:autoSpaceDN w:val="0"/>
        <w:bidi w:val="0"/>
        <w:snapToGrid w:val="0"/>
        <w:spacing w:before="0" w:after="0"/>
        <w:jc w:val="center"/>
        <w:rPr>
          <w:rFonts w:hint="default" w:ascii="Times New Roman" w:hAnsi="Times New Roman" w:eastAsia="方正小标宋_GBK" w:cs="Times New Roman"/>
          <w:b w:val="0"/>
          <w:bCs w:val="0"/>
          <w:color w:val="auto"/>
          <w:kern w:val="0"/>
          <w:sz w:val="32"/>
          <w:szCs w:val="32"/>
          <w:u w:val="none"/>
          <w:lang w:eastAsia="zh-CN"/>
        </w:rPr>
      </w:pPr>
    </w:p>
    <w:p w14:paraId="7825C603">
      <w:pPr>
        <w:pStyle w:val="10"/>
        <w:keepNext w:val="0"/>
        <w:keepLines w:val="0"/>
        <w:pageBreakBefore w:val="0"/>
        <w:widowControl w:val="0"/>
        <w:kinsoku/>
        <w:wordWrap/>
        <w:overflowPunct w:val="0"/>
        <w:topLinePunct/>
        <w:autoSpaceDE w:val="0"/>
        <w:autoSpaceDN w:val="0"/>
        <w:bidi w:val="0"/>
        <w:snapToGrid w:val="0"/>
        <w:spacing w:before="0" w:after="0"/>
        <w:jc w:val="center"/>
        <w:rPr>
          <w:rFonts w:hint="eastAsia" w:ascii="方正小标宋简体" w:hAnsi="方正小标宋简体" w:eastAsia="方正小标宋简体" w:cs="方正小标宋简体"/>
          <w:b w:val="0"/>
          <w:bCs w:val="0"/>
          <w:color w:val="auto"/>
          <w:kern w:val="0"/>
          <w:sz w:val="32"/>
          <w:szCs w:val="32"/>
          <w:u w:val="none"/>
          <w:lang w:val="en-US" w:eastAsia="zh-CN"/>
        </w:rPr>
      </w:pPr>
      <w:r>
        <w:rPr>
          <w:rFonts w:hint="eastAsia" w:ascii="方正小标宋简体" w:hAnsi="方正小标宋简体" w:eastAsia="方正小标宋简体" w:cs="方正小标宋简体"/>
          <w:b w:val="0"/>
          <w:bCs w:val="0"/>
          <w:color w:val="auto"/>
          <w:kern w:val="0"/>
          <w:sz w:val="32"/>
          <w:szCs w:val="32"/>
          <w:u w:val="none"/>
          <w:lang w:val="en-US" w:eastAsia="zh-CN"/>
        </w:rPr>
        <w:t>观音互通经G245至S103连接线建设工程环境影响评价</w:t>
      </w:r>
    </w:p>
    <w:p w14:paraId="24CE54A3">
      <w:pPr>
        <w:pStyle w:val="10"/>
        <w:keepNext w:val="0"/>
        <w:keepLines w:val="0"/>
        <w:pageBreakBefore w:val="0"/>
        <w:widowControl w:val="0"/>
        <w:kinsoku/>
        <w:wordWrap/>
        <w:overflowPunct w:val="0"/>
        <w:topLinePunct/>
        <w:autoSpaceDE w:val="0"/>
        <w:autoSpaceDN w:val="0"/>
        <w:bidi w:val="0"/>
        <w:snapToGrid w:val="0"/>
        <w:spacing w:before="0" w:after="0"/>
        <w:jc w:val="center"/>
        <w:rPr>
          <w:rFonts w:hint="default" w:ascii="Times New Roman" w:hAnsi="Times New Roman" w:eastAsia="方正小标宋_GBK" w:cs="Times New Roman"/>
          <w:b w:val="0"/>
          <w:bCs w:val="0"/>
          <w:color w:val="auto"/>
          <w:kern w:val="0"/>
          <w:sz w:val="44"/>
          <w:szCs w:val="44"/>
          <w:u w:val="none"/>
        </w:rPr>
      </w:pPr>
      <w:r>
        <w:rPr>
          <w:rFonts w:hint="eastAsia" w:ascii="方正小标宋简体" w:hAnsi="方正小标宋简体" w:eastAsia="方正小标宋简体" w:cs="方正小标宋简体"/>
          <w:b w:val="0"/>
          <w:bCs w:val="0"/>
          <w:color w:val="auto"/>
          <w:kern w:val="0"/>
          <w:sz w:val="32"/>
          <w:szCs w:val="32"/>
          <w:u w:val="none"/>
          <w:lang w:val="en-US" w:eastAsia="zh-CN"/>
        </w:rPr>
        <w:t>生态专章编制</w:t>
      </w:r>
      <w:r>
        <w:rPr>
          <w:rFonts w:hint="eastAsia" w:ascii="方正小标宋简体" w:hAnsi="方正小标宋简体" w:eastAsia="方正小标宋简体" w:cs="方正小标宋简体"/>
          <w:b w:val="0"/>
          <w:bCs w:val="0"/>
          <w:color w:val="auto"/>
          <w:kern w:val="0"/>
          <w:sz w:val="32"/>
          <w:szCs w:val="32"/>
          <w:u w:val="none"/>
        </w:rPr>
        <w:t>技术服务合同</w:t>
      </w:r>
    </w:p>
    <w:p w14:paraId="72AAFB81">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center"/>
        <w:rPr>
          <w:rFonts w:hint="default" w:ascii="Times New Roman" w:hAnsi="Times New Roman" w:eastAsia="方正小标宋_GBK" w:cs="Times New Roman"/>
          <w:color w:val="auto"/>
          <w:kern w:val="0"/>
          <w:sz w:val="24"/>
        </w:rPr>
      </w:pPr>
      <w:r>
        <w:rPr>
          <w:rFonts w:hint="default" w:ascii="Times New Roman" w:hAnsi="Times New Roman" w:eastAsia="方正小标宋_GBK" w:cs="Times New Roman"/>
          <w:color w:val="auto"/>
          <w:kern w:val="0"/>
          <w:sz w:val="24"/>
        </w:rPr>
        <w:t>（专业：环境影响评价）</w:t>
      </w:r>
    </w:p>
    <w:p w14:paraId="2E7BB939">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eastAsia="宋体" w:cs="Times New Roman"/>
          <w:color w:val="auto"/>
          <w:kern w:val="0"/>
          <w:sz w:val="24"/>
          <w:lang w:eastAsia="zh-CN"/>
        </w:rPr>
      </w:pPr>
    </w:p>
    <w:p w14:paraId="46E0150D">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eastAsia="宋体" w:cs="Times New Roman"/>
          <w:color w:val="auto"/>
          <w:kern w:val="0"/>
          <w:sz w:val="24"/>
          <w:lang w:eastAsia="zh-CN"/>
        </w:rPr>
      </w:pPr>
    </w:p>
    <w:p w14:paraId="65008D70">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7AC99EF9">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1BE97A45">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56FC7471">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3ECBFAA2">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color w:val="auto"/>
          <w:kern w:val="0"/>
          <w:sz w:val="24"/>
        </w:rPr>
      </w:pPr>
    </w:p>
    <w:p w14:paraId="42DF1B28">
      <w:pPr>
        <w:keepNext w:val="0"/>
        <w:keepLines w:val="0"/>
        <w:pageBreakBefore w:val="0"/>
        <w:widowControl w:val="0"/>
        <w:kinsoku/>
        <w:wordWrap/>
        <w:overflowPunct w:val="0"/>
        <w:topLinePunct/>
        <w:autoSpaceDE w:val="0"/>
        <w:autoSpaceDN w:val="0"/>
        <w:bidi w:val="0"/>
        <w:snapToGrid w:val="0"/>
        <w:spacing w:line="360" w:lineRule="auto"/>
        <w:jc w:val="both"/>
        <w:rPr>
          <w:rFonts w:hint="default" w:ascii="Times New Roman" w:hAnsi="Times New Roman" w:eastAsia="宋体" w:cs="Times New Roman"/>
          <w:color w:val="auto"/>
          <w:kern w:val="0"/>
          <w:sz w:val="28"/>
          <w:szCs w:val="28"/>
          <w:lang w:eastAsia="zh-CN"/>
        </w:rPr>
      </w:pPr>
    </w:p>
    <w:p w14:paraId="17BE6678">
      <w:pPr>
        <w:keepNext w:val="0"/>
        <w:keepLines w:val="0"/>
        <w:pageBreakBefore w:val="0"/>
        <w:widowControl w:val="0"/>
        <w:kinsoku/>
        <w:wordWrap/>
        <w:overflowPunct w:val="0"/>
        <w:topLinePunct/>
        <w:autoSpaceDE w:val="0"/>
        <w:autoSpaceDN w:val="0"/>
        <w:bidi w:val="0"/>
        <w:adjustRightInd/>
        <w:snapToGrid w:val="0"/>
        <w:spacing w:line="360" w:lineRule="auto"/>
        <w:ind w:left="1680" w:hanging="1680" w:hangingChars="600"/>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工 程 名 称：</w:t>
      </w:r>
      <w:r>
        <w:rPr>
          <w:rFonts w:hint="eastAsia" w:ascii="方正小标宋简体" w:hAnsi="方正小标宋简体" w:eastAsia="方正小标宋简体" w:cs="方正小标宋简体"/>
          <w:snapToGrid/>
          <w:color w:val="auto"/>
          <w:kern w:val="0"/>
          <w:sz w:val="28"/>
          <w:szCs w:val="28"/>
          <w:u w:val="single"/>
          <w:lang w:val="en-US" w:eastAsia="zh-CN"/>
        </w:rPr>
        <w:t xml:space="preserve">观音互通经G245至S103连接线建设工程环境影响评价生态专章编制 </w:t>
      </w:r>
      <w:r>
        <w:rPr>
          <w:rFonts w:hint="eastAsia" w:ascii="Times New Roman" w:hAnsi="Times New Roman" w:eastAsia="方正小标宋_GBK" w:cs="Times New Roman"/>
          <w:snapToGrid/>
          <w:color w:val="auto"/>
          <w:kern w:val="0"/>
          <w:sz w:val="28"/>
          <w:szCs w:val="28"/>
          <w:u w:val="single"/>
          <w:lang w:val="en-US" w:eastAsia="zh-CN"/>
        </w:rPr>
        <w:t xml:space="preserve">                                  </w:t>
      </w:r>
    </w:p>
    <w:p w14:paraId="79F05D4F">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工 程 地 点：</w:t>
      </w:r>
      <w:r>
        <w:rPr>
          <w:rFonts w:hint="eastAsia" w:ascii="方正小标宋简体" w:hAnsi="方正小标宋简体" w:eastAsia="方正小标宋简体" w:cs="方正小标宋简体"/>
          <w:snapToGrid/>
          <w:color w:val="auto"/>
          <w:kern w:val="0"/>
          <w:sz w:val="28"/>
          <w:szCs w:val="28"/>
          <w:u w:val="single"/>
          <w:lang w:val="en-US" w:eastAsia="zh-CN"/>
        </w:rPr>
        <w:t>四川省眉山市境内</w:t>
      </w:r>
      <w:r>
        <w:rPr>
          <w:rFonts w:hint="default" w:ascii="Times New Roman" w:hAnsi="Times New Roman" w:eastAsia="方正小标宋_GBK" w:cs="Times New Roman"/>
          <w:snapToGrid/>
          <w:color w:val="auto"/>
          <w:kern w:val="0"/>
          <w:sz w:val="28"/>
          <w:szCs w:val="28"/>
          <w:u w:val="single"/>
          <w:lang w:val="en-US" w:eastAsia="zh-CN"/>
        </w:rPr>
        <w:t xml:space="preserve">                              </w:t>
      </w:r>
    </w:p>
    <w:p w14:paraId="1475478E">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合 同 编 号：</w:t>
      </w:r>
      <w:r>
        <w:rPr>
          <w:rFonts w:hint="default" w:ascii="Times New Roman" w:hAnsi="Times New Roman" w:eastAsia="方正小标宋_GBK" w:cs="Times New Roman"/>
          <w:snapToGrid/>
          <w:color w:val="auto"/>
          <w:kern w:val="0"/>
          <w:sz w:val="28"/>
          <w:szCs w:val="28"/>
          <w:u w:val="single"/>
          <w:lang w:eastAsia="zh-CN"/>
        </w:rPr>
        <w:t>川交勘设采购（路）（</w:t>
      </w:r>
      <w:r>
        <w:rPr>
          <w:rFonts w:hint="default" w:ascii="Times New Roman" w:hAnsi="Times New Roman" w:eastAsia="方正小标宋_GBK" w:cs="Times New Roman"/>
          <w:snapToGrid/>
          <w:color w:val="auto"/>
          <w:kern w:val="0"/>
          <w:sz w:val="28"/>
          <w:szCs w:val="28"/>
          <w:u w:val="single"/>
          <w:lang w:val="en-US" w:eastAsia="zh-CN"/>
        </w:rPr>
        <w:t>2025</w:t>
      </w:r>
      <w:r>
        <w:rPr>
          <w:rFonts w:hint="default" w:ascii="Times New Roman" w:hAnsi="Times New Roman" w:eastAsia="方正小标宋_GBK" w:cs="Times New Roman"/>
          <w:snapToGrid/>
          <w:color w:val="auto"/>
          <w:kern w:val="0"/>
          <w:sz w:val="28"/>
          <w:szCs w:val="28"/>
          <w:u w:val="single"/>
          <w:lang w:eastAsia="zh-CN"/>
        </w:rPr>
        <w:t>）合字第</w:t>
      </w:r>
      <w:r>
        <w:rPr>
          <w:rFonts w:hint="eastAsia" w:ascii="Times New Roman" w:hAnsi="Times New Roman" w:eastAsia="方正小标宋_GBK" w:cs="Times New Roman"/>
          <w:snapToGrid/>
          <w:color w:val="auto"/>
          <w:kern w:val="0"/>
          <w:sz w:val="28"/>
          <w:szCs w:val="28"/>
          <w:u w:val="single"/>
          <w:lang w:val="en-US" w:eastAsia="zh-CN"/>
        </w:rPr>
        <w:t xml:space="preserve">  </w:t>
      </w:r>
      <w:r>
        <w:rPr>
          <w:rFonts w:hint="default" w:ascii="Times New Roman" w:hAnsi="Times New Roman" w:eastAsia="方正小标宋_GBK" w:cs="Times New Roman"/>
          <w:snapToGrid/>
          <w:color w:val="auto"/>
          <w:kern w:val="0"/>
          <w:sz w:val="28"/>
          <w:szCs w:val="28"/>
          <w:u w:val="single"/>
          <w:lang w:val="en-US" w:eastAsia="zh-CN"/>
        </w:rPr>
        <w:t xml:space="preserve">号  </w:t>
      </w:r>
      <w:r>
        <w:rPr>
          <w:rFonts w:hint="eastAsia" w:ascii="Times New Roman" w:hAnsi="Times New Roman" w:eastAsia="方正小标宋_GBK" w:cs="Times New Roman"/>
          <w:snapToGrid/>
          <w:color w:val="auto"/>
          <w:kern w:val="0"/>
          <w:sz w:val="28"/>
          <w:szCs w:val="28"/>
          <w:u w:val="single"/>
          <w:lang w:val="en-US" w:eastAsia="zh-CN"/>
        </w:rPr>
        <w:t xml:space="preserve">   </w:t>
      </w:r>
      <w:r>
        <w:rPr>
          <w:rFonts w:hint="default" w:ascii="Times New Roman" w:hAnsi="Times New Roman" w:eastAsia="方正小标宋_GBK" w:cs="Times New Roman"/>
          <w:snapToGrid/>
          <w:color w:val="auto"/>
          <w:kern w:val="0"/>
          <w:sz w:val="28"/>
          <w:szCs w:val="28"/>
          <w:u w:val="single"/>
          <w:lang w:val="en-US" w:eastAsia="zh-CN"/>
        </w:rPr>
        <w:t xml:space="preserve">     </w:t>
      </w:r>
    </w:p>
    <w:p w14:paraId="548A4920">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资质证书等级：</w:t>
      </w:r>
      <w:r>
        <w:rPr>
          <w:rFonts w:hint="default" w:ascii="Times New Roman" w:hAnsi="Times New Roman" w:eastAsia="方正小标宋_GBK" w:cs="Times New Roman"/>
          <w:snapToGrid/>
          <w:color w:val="auto"/>
          <w:kern w:val="0"/>
          <w:sz w:val="28"/>
          <w:szCs w:val="28"/>
          <w:u w:val="single"/>
          <w:lang w:eastAsia="zh-CN"/>
        </w:rPr>
        <w:t>/</w:t>
      </w:r>
      <w:r>
        <w:rPr>
          <w:rFonts w:hint="default" w:ascii="Times New Roman" w:hAnsi="Times New Roman" w:eastAsia="方正小标宋_GBK" w:cs="Times New Roman"/>
          <w:snapToGrid/>
          <w:color w:val="auto"/>
          <w:kern w:val="0"/>
          <w:sz w:val="28"/>
          <w:szCs w:val="28"/>
          <w:u w:val="single"/>
          <w:lang w:val="en-US" w:eastAsia="zh-CN"/>
        </w:rPr>
        <w:t xml:space="preserve">                                             </w:t>
      </w:r>
    </w:p>
    <w:p w14:paraId="48CF2DF6">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_GBK" w:cs="Times New Roman"/>
          <w:snapToGrid/>
          <w:color w:val="auto"/>
          <w:kern w:val="0"/>
          <w:sz w:val="28"/>
          <w:szCs w:val="28"/>
          <w:u w:val="single"/>
          <w:lang w:val="en-US" w:eastAsia="zh-CN"/>
        </w:rPr>
      </w:pPr>
      <w:r>
        <w:rPr>
          <w:rFonts w:hint="default" w:ascii="Times New Roman" w:hAnsi="Times New Roman" w:eastAsia="方正小标宋_GBK" w:cs="Times New Roman"/>
          <w:snapToGrid/>
          <w:color w:val="auto"/>
          <w:kern w:val="0"/>
          <w:sz w:val="28"/>
          <w:szCs w:val="28"/>
          <w:lang w:eastAsia="zh-CN"/>
        </w:rPr>
        <w:t>甲</w:t>
      </w:r>
      <w:r>
        <w:rPr>
          <w:rFonts w:hint="default" w:ascii="Times New Roman" w:hAnsi="Times New Roman" w:eastAsia="方正小标宋_GBK" w:cs="Times New Roman"/>
          <w:snapToGrid/>
          <w:color w:val="auto"/>
          <w:kern w:val="0"/>
          <w:sz w:val="28"/>
          <w:szCs w:val="28"/>
          <w:lang w:val="en-US" w:eastAsia="zh-CN"/>
        </w:rPr>
        <w:t xml:space="preserve">        </w:t>
      </w:r>
      <w:r>
        <w:rPr>
          <w:rFonts w:hint="default" w:ascii="Times New Roman" w:hAnsi="Times New Roman" w:eastAsia="方正小标宋_GBK" w:cs="Times New Roman"/>
          <w:snapToGrid/>
          <w:color w:val="auto"/>
          <w:kern w:val="0"/>
          <w:sz w:val="28"/>
          <w:szCs w:val="28"/>
          <w:lang w:eastAsia="zh-CN"/>
        </w:rPr>
        <w:t>方：</w:t>
      </w:r>
      <w:r>
        <w:rPr>
          <w:rFonts w:hint="default" w:ascii="Times New Roman" w:hAnsi="Times New Roman" w:eastAsia="方正小标宋_GBK" w:cs="Times New Roman"/>
          <w:snapToGrid/>
          <w:color w:val="auto"/>
          <w:kern w:val="0"/>
          <w:sz w:val="28"/>
          <w:szCs w:val="28"/>
          <w:u w:val="single"/>
          <w:lang w:eastAsia="zh-CN"/>
        </w:rPr>
        <w:t>四川省交通勘察设计研究院有限公司</w:t>
      </w:r>
      <w:r>
        <w:rPr>
          <w:rFonts w:hint="default" w:ascii="Times New Roman" w:hAnsi="Times New Roman" w:eastAsia="方正小标宋_GBK" w:cs="Times New Roman"/>
          <w:snapToGrid/>
          <w:color w:val="auto"/>
          <w:kern w:val="0"/>
          <w:sz w:val="28"/>
          <w:szCs w:val="28"/>
          <w:u w:val="single"/>
          <w:lang w:val="en-US" w:eastAsia="zh-CN"/>
        </w:rPr>
        <w:t xml:space="preserve">     </w:t>
      </w:r>
      <w:r>
        <w:rPr>
          <w:rFonts w:hint="eastAsia" w:ascii="Times New Roman" w:hAnsi="Times New Roman" w:eastAsia="方正小标宋_GBK" w:cs="Times New Roman"/>
          <w:snapToGrid/>
          <w:color w:val="auto"/>
          <w:kern w:val="0"/>
          <w:sz w:val="28"/>
          <w:szCs w:val="28"/>
          <w:u w:val="single"/>
          <w:lang w:val="en-US" w:eastAsia="zh-CN"/>
        </w:rPr>
        <w:t xml:space="preserve">   </w:t>
      </w:r>
      <w:r>
        <w:rPr>
          <w:rFonts w:hint="default" w:ascii="Times New Roman" w:hAnsi="Times New Roman" w:eastAsia="方正小标宋_GBK" w:cs="Times New Roman"/>
          <w:snapToGrid/>
          <w:color w:val="auto"/>
          <w:kern w:val="0"/>
          <w:sz w:val="28"/>
          <w:szCs w:val="28"/>
          <w:u w:val="single"/>
          <w:lang w:val="en-US" w:eastAsia="zh-CN"/>
        </w:rPr>
        <w:t xml:space="preserve">     </w:t>
      </w:r>
    </w:p>
    <w:p w14:paraId="6A87A0BE">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eastAsia="方正小标宋简体" w:cs="Times New Roman"/>
          <w:snapToGrid/>
          <w:color w:val="auto"/>
          <w:kern w:val="0"/>
          <w:sz w:val="28"/>
          <w:szCs w:val="28"/>
          <w:lang w:val="en-US" w:eastAsia="zh-CN"/>
        </w:rPr>
      </w:pPr>
      <w:r>
        <w:rPr>
          <w:rFonts w:hint="default" w:ascii="Times New Roman" w:hAnsi="Times New Roman" w:eastAsia="方正小标宋简体" w:cs="Times New Roman"/>
          <w:snapToGrid/>
          <w:color w:val="auto"/>
          <w:kern w:val="0"/>
          <w:sz w:val="28"/>
          <w:szCs w:val="28"/>
          <w:lang w:eastAsia="zh-CN"/>
        </w:rPr>
        <w:t>乙</w:t>
      </w:r>
      <w:r>
        <w:rPr>
          <w:rFonts w:hint="default" w:ascii="Times New Roman" w:hAnsi="Times New Roman" w:eastAsia="方正小标宋简体" w:cs="Times New Roman"/>
          <w:snapToGrid/>
          <w:color w:val="auto"/>
          <w:kern w:val="0"/>
          <w:sz w:val="28"/>
          <w:szCs w:val="28"/>
          <w:lang w:val="en-US" w:eastAsia="zh-CN"/>
        </w:rPr>
        <w:t xml:space="preserve">        </w:t>
      </w:r>
      <w:r>
        <w:rPr>
          <w:rFonts w:hint="default" w:ascii="Times New Roman" w:hAnsi="Times New Roman" w:eastAsia="方正小标宋简体" w:cs="Times New Roman"/>
          <w:snapToGrid/>
          <w:color w:val="auto"/>
          <w:kern w:val="0"/>
          <w:sz w:val="28"/>
          <w:szCs w:val="28"/>
          <w:lang w:eastAsia="zh-CN"/>
        </w:rPr>
        <w:t>方：</w:t>
      </w:r>
      <w:r>
        <w:rPr>
          <w:rFonts w:hint="eastAsia" w:ascii="Times New Roman" w:hAnsi="Times New Roman" w:eastAsia="方正小标宋简体" w:cs="Times New Roman"/>
          <w:snapToGrid/>
          <w:color w:val="auto"/>
          <w:kern w:val="0"/>
          <w:sz w:val="28"/>
          <w:szCs w:val="28"/>
          <w:u w:val="single"/>
          <w:lang w:val="en-US" w:eastAsia="zh-CN"/>
        </w:rPr>
        <w:t xml:space="preserve">                            </w:t>
      </w:r>
      <w:r>
        <w:rPr>
          <w:rFonts w:hint="default" w:ascii="Times New Roman" w:hAnsi="Times New Roman" w:eastAsia="方正小标宋简体" w:cs="Times New Roman"/>
          <w:snapToGrid/>
          <w:color w:val="auto"/>
          <w:kern w:val="0"/>
          <w:sz w:val="28"/>
          <w:szCs w:val="28"/>
          <w:u w:val="single"/>
          <w:lang w:val="en-US" w:eastAsia="zh-CN"/>
        </w:rPr>
        <w:t xml:space="preserve">             </w:t>
      </w:r>
      <w:r>
        <w:rPr>
          <w:rFonts w:hint="eastAsia" w:ascii="Times New Roman" w:hAnsi="Times New Roman" w:eastAsia="方正小标宋简体" w:cs="Times New Roman"/>
          <w:snapToGrid/>
          <w:color w:val="auto"/>
          <w:kern w:val="0"/>
          <w:sz w:val="28"/>
          <w:szCs w:val="28"/>
          <w:u w:val="single"/>
          <w:lang w:val="en-US" w:eastAsia="zh-CN"/>
        </w:rPr>
        <w:t xml:space="preserve">   </w:t>
      </w:r>
      <w:r>
        <w:rPr>
          <w:rFonts w:hint="default" w:ascii="Times New Roman" w:hAnsi="Times New Roman" w:eastAsia="方正小标宋简体" w:cs="Times New Roman"/>
          <w:snapToGrid/>
          <w:color w:val="auto"/>
          <w:kern w:val="0"/>
          <w:sz w:val="28"/>
          <w:szCs w:val="28"/>
          <w:u w:val="single"/>
          <w:lang w:val="en-US" w:eastAsia="zh-CN"/>
        </w:rPr>
        <w:t xml:space="preserve"> </w:t>
      </w:r>
    </w:p>
    <w:p w14:paraId="31CCDDBE">
      <w:pPr>
        <w:keepNext w:val="0"/>
        <w:keepLines w:val="0"/>
        <w:pageBreakBefore w:val="0"/>
        <w:widowControl w:val="0"/>
        <w:kinsoku/>
        <w:wordWrap/>
        <w:overflowPunct w:val="0"/>
        <w:topLinePunct/>
        <w:autoSpaceDE w:val="0"/>
        <w:autoSpaceDN w:val="0"/>
        <w:bidi w:val="0"/>
        <w:adjustRightInd/>
        <w:snapToGrid w:val="0"/>
        <w:spacing w:line="360" w:lineRule="auto"/>
        <w:jc w:val="both"/>
        <w:textAlignment w:val="auto"/>
        <w:rPr>
          <w:rFonts w:hint="default" w:ascii="Times New Roman" w:hAnsi="Times New Roman" w:cs="Times New Roman"/>
          <w:b/>
          <w:bCs/>
          <w:color w:val="auto"/>
          <w:kern w:val="0"/>
          <w:sz w:val="32"/>
          <w:szCs w:val="32"/>
        </w:rPr>
      </w:pPr>
      <w:r>
        <w:rPr>
          <w:rFonts w:hint="default" w:ascii="Times New Roman" w:hAnsi="Times New Roman" w:eastAsia="方正小标宋_GBK" w:cs="Times New Roman"/>
          <w:snapToGrid/>
          <w:color w:val="auto"/>
          <w:kern w:val="0"/>
          <w:sz w:val="28"/>
          <w:szCs w:val="28"/>
          <w:lang w:eastAsia="zh-CN"/>
        </w:rPr>
        <w:t>签 订 日 期：</w:t>
      </w:r>
      <w:r>
        <w:rPr>
          <w:rFonts w:hint="default" w:ascii="Times New Roman" w:hAnsi="Times New Roman" w:eastAsia="方正小标宋_GBK" w:cs="Times New Roman"/>
          <w:snapToGrid/>
          <w:color w:val="auto"/>
          <w:kern w:val="0"/>
          <w:sz w:val="28"/>
          <w:szCs w:val="28"/>
          <w:u w:val="single"/>
          <w:lang w:val="en-US" w:eastAsia="zh-CN"/>
        </w:rPr>
        <w:t xml:space="preserve">   2025   年   月   日                        </w:t>
      </w:r>
    </w:p>
    <w:p w14:paraId="1C2A855D">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center"/>
        <w:rPr>
          <w:rFonts w:hint="eastAsia" w:ascii="方正小标宋简体" w:hAnsi="方正小标宋简体" w:eastAsia="方正小标宋简体" w:cs="方正小标宋简体"/>
          <w:b w:val="0"/>
          <w:bCs w:val="0"/>
          <w:color w:val="auto"/>
          <w:kern w:val="0"/>
          <w:sz w:val="32"/>
          <w:szCs w:val="32"/>
          <w:lang w:val="en-US" w:eastAsia="zh-CN"/>
        </w:rPr>
      </w:pPr>
      <w:r>
        <w:rPr>
          <w:rFonts w:hint="default" w:ascii="Times New Roman" w:hAnsi="Times New Roman" w:eastAsia="方正小标宋_GBK" w:cs="Times New Roman"/>
          <w:b/>
          <w:bCs/>
          <w:color w:val="auto"/>
          <w:kern w:val="0"/>
          <w:sz w:val="32"/>
          <w:szCs w:val="32"/>
        </w:rPr>
        <w:br w:type="page"/>
      </w:r>
      <w:r>
        <w:rPr>
          <w:rFonts w:hint="eastAsia" w:ascii="方正小标宋简体" w:hAnsi="方正小标宋简体" w:eastAsia="方正小标宋简体" w:cs="方正小标宋简体"/>
          <w:b w:val="0"/>
          <w:bCs w:val="0"/>
          <w:color w:val="auto"/>
          <w:kern w:val="0"/>
          <w:sz w:val="32"/>
          <w:szCs w:val="32"/>
          <w:lang w:val="en-US" w:eastAsia="zh-CN"/>
        </w:rPr>
        <w:t>观音互通经G245至S103连接线建设工程环境影响评价</w:t>
      </w:r>
    </w:p>
    <w:p w14:paraId="47B132E1">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center"/>
        <w:rPr>
          <w:rFonts w:hint="eastAsia" w:ascii="方正小标宋简体" w:hAnsi="方正小标宋简体" w:eastAsia="方正小标宋简体" w:cs="方正小标宋简体"/>
          <w:b w:val="0"/>
          <w:bCs w:val="0"/>
          <w:color w:val="auto"/>
          <w:kern w:val="0"/>
          <w:sz w:val="32"/>
          <w:szCs w:val="32"/>
        </w:rPr>
      </w:pPr>
      <w:r>
        <w:rPr>
          <w:rFonts w:hint="eastAsia" w:ascii="方正小标宋简体" w:hAnsi="方正小标宋简体" w:eastAsia="方正小标宋简体" w:cs="方正小标宋简体"/>
          <w:b w:val="0"/>
          <w:bCs w:val="0"/>
          <w:color w:val="auto"/>
          <w:kern w:val="0"/>
          <w:sz w:val="32"/>
          <w:szCs w:val="32"/>
          <w:lang w:val="en-US" w:eastAsia="zh-CN"/>
        </w:rPr>
        <w:t>生态专章编制</w:t>
      </w:r>
      <w:r>
        <w:rPr>
          <w:rFonts w:hint="eastAsia" w:ascii="方正小标宋简体" w:hAnsi="方正小标宋简体" w:eastAsia="方正小标宋简体" w:cs="方正小标宋简体"/>
          <w:b w:val="0"/>
          <w:bCs w:val="0"/>
          <w:color w:val="auto"/>
          <w:kern w:val="0"/>
          <w:sz w:val="32"/>
          <w:szCs w:val="32"/>
        </w:rPr>
        <w:t>技术服务合同</w:t>
      </w:r>
    </w:p>
    <w:p w14:paraId="52BDEFD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甲方：</w:t>
      </w:r>
      <w:r>
        <w:rPr>
          <w:rFonts w:hint="default" w:ascii="Times New Roman" w:hAnsi="Times New Roman" w:eastAsia="仿宋" w:cs="Times New Roman"/>
          <w:snapToGrid w:val="0"/>
          <w:color w:val="auto"/>
          <w:kern w:val="0"/>
          <w:sz w:val="24"/>
          <w:lang w:eastAsia="zh-CN"/>
        </w:rPr>
        <w:t>四川</w:t>
      </w:r>
      <w:r>
        <w:rPr>
          <w:rFonts w:hint="default" w:ascii="Times New Roman" w:hAnsi="Times New Roman" w:eastAsia="仿宋" w:cs="Times New Roman"/>
          <w:snapToGrid w:val="0"/>
          <w:color w:val="auto"/>
          <w:kern w:val="0"/>
          <w:sz w:val="24"/>
          <w:lang w:val="en-US" w:eastAsia="zh-CN"/>
        </w:rPr>
        <w:t>省</w:t>
      </w:r>
      <w:r>
        <w:rPr>
          <w:rFonts w:hint="default" w:ascii="Times New Roman" w:hAnsi="Times New Roman" w:eastAsia="仿宋" w:cs="Times New Roman"/>
          <w:snapToGrid w:val="0"/>
          <w:color w:val="auto"/>
          <w:kern w:val="0"/>
          <w:sz w:val="24"/>
          <w:lang w:eastAsia="zh-CN"/>
        </w:rPr>
        <w:t>交通勘察设计研究院有限公司</w:t>
      </w:r>
    </w:p>
    <w:p w14:paraId="5627CE9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rPr>
      </w:pPr>
      <w:r>
        <w:rPr>
          <w:rFonts w:hint="default" w:ascii="Times New Roman" w:hAnsi="Times New Roman" w:eastAsia="仿宋" w:cs="Times New Roman"/>
          <w:snapToGrid w:val="0"/>
          <w:kern w:val="0"/>
          <w:sz w:val="24"/>
        </w:rPr>
        <w:t>乙方：</w:t>
      </w:r>
    </w:p>
    <w:p w14:paraId="0968F0B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乙方基本信息：</w:t>
      </w:r>
    </w:p>
    <w:p w14:paraId="7DF919CC">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统一社会信用代码：</w:t>
      </w:r>
    </w:p>
    <w:p w14:paraId="1B372D5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资质等级及专业类别：</w:t>
      </w:r>
    </w:p>
    <w:p w14:paraId="0011A71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资质证书有效期：</w:t>
      </w:r>
    </w:p>
    <w:p w14:paraId="2563230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kern w:val="0"/>
          <w:sz w:val="24"/>
          <w:highlight w:val="none"/>
        </w:rPr>
      </w:pPr>
      <w:r>
        <w:rPr>
          <w:rFonts w:hint="default" w:ascii="Times New Roman" w:hAnsi="Times New Roman" w:eastAsia="仿宋" w:cs="Times New Roman"/>
          <w:snapToGrid w:val="0"/>
          <w:kern w:val="0"/>
          <w:sz w:val="24"/>
          <w:highlight w:val="none"/>
        </w:rPr>
        <w:t>法定代表人姓名：</w:t>
      </w:r>
    </w:p>
    <w:p w14:paraId="6738549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highlight w:val="none"/>
          <w:lang w:val="en-US" w:eastAsia="zh-CN"/>
        </w:rPr>
      </w:pPr>
      <w:r>
        <w:rPr>
          <w:rFonts w:hint="default" w:ascii="Times New Roman" w:hAnsi="Times New Roman" w:eastAsia="仿宋" w:cs="Times New Roman"/>
          <w:snapToGrid w:val="0"/>
          <w:kern w:val="0"/>
          <w:sz w:val="24"/>
          <w:highlight w:val="none"/>
        </w:rPr>
        <w:t>项目负责人姓名：</w:t>
      </w:r>
    </w:p>
    <w:p w14:paraId="0B18C2BA">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依据《中华人民共和国民法典》、《中华人民共和国建筑法》及行业管理有关法律、法规和规章，遵循平等、自愿、公平和诚实信用的原则，鉴于甲方承担</w:t>
      </w:r>
      <w:r>
        <w:rPr>
          <w:rFonts w:hint="default" w:ascii="Times New Roman" w:hAnsi="Times New Roman" w:eastAsia="仿宋" w:cs="Times New Roman"/>
          <w:snapToGrid w:val="0"/>
          <w:color w:val="auto"/>
          <w:kern w:val="0"/>
          <w:sz w:val="24"/>
          <w:u w:val="single"/>
          <w:lang w:val="en-US" w:eastAsia="zh-CN"/>
        </w:rPr>
        <w:t>观音互通经G245至S103连接线建设工程</w:t>
      </w:r>
      <w:r>
        <w:rPr>
          <w:rFonts w:hint="default" w:ascii="Times New Roman" w:hAnsi="Times New Roman" w:eastAsia="仿宋" w:cs="Times New Roman"/>
          <w:snapToGrid w:val="0"/>
          <w:color w:val="auto"/>
          <w:kern w:val="0"/>
          <w:sz w:val="24"/>
        </w:rPr>
        <w:t>的</w:t>
      </w:r>
      <w:r>
        <w:rPr>
          <w:rFonts w:hint="default" w:ascii="Times New Roman" w:hAnsi="Times New Roman" w:eastAsia="仿宋" w:cs="Times New Roman"/>
          <w:snapToGrid w:val="0"/>
          <w:color w:val="auto"/>
          <w:kern w:val="0"/>
          <w:sz w:val="24"/>
          <w:u w:val="single"/>
          <w:lang w:eastAsia="zh-CN"/>
        </w:rPr>
        <w:t>环境影响评价</w:t>
      </w:r>
      <w:r>
        <w:rPr>
          <w:rFonts w:hint="default" w:ascii="Times New Roman" w:hAnsi="Times New Roman" w:eastAsia="仿宋" w:cs="Times New Roman"/>
          <w:snapToGrid w:val="0"/>
          <w:color w:val="auto"/>
          <w:kern w:val="0"/>
          <w:sz w:val="24"/>
        </w:rPr>
        <w:t>，经</w:t>
      </w:r>
      <w:r>
        <w:rPr>
          <w:rFonts w:hint="eastAsia" w:ascii="Times New Roman" w:hAnsi="Times New Roman" w:eastAsia="仿宋" w:cs="Times New Roman"/>
          <w:snapToGrid w:val="0"/>
          <w:color w:val="auto"/>
          <w:kern w:val="0"/>
          <w:sz w:val="24"/>
          <w:u w:val="single"/>
          <w:lang w:val="en-US" w:eastAsia="zh-CN"/>
        </w:rPr>
        <w:t>询价采购</w:t>
      </w:r>
      <w:r>
        <w:rPr>
          <w:rFonts w:hint="default" w:ascii="Times New Roman" w:hAnsi="Times New Roman" w:eastAsia="仿宋" w:cs="Times New Roman"/>
          <w:snapToGrid w:val="0"/>
          <w:color w:val="auto"/>
          <w:kern w:val="0"/>
          <w:sz w:val="24"/>
        </w:rPr>
        <w:t>，甲乙双方就</w:t>
      </w:r>
      <w:r>
        <w:rPr>
          <w:rFonts w:hint="default" w:ascii="Times New Roman" w:hAnsi="Times New Roman" w:eastAsia="仿宋" w:cs="Times New Roman"/>
          <w:snapToGrid w:val="0"/>
          <w:color w:val="auto"/>
          <w:kern w:val="0"/>
          <w:sz w:val="24"/>
          <w:u w:val="single"/>
          <w:lang w:val="en-US" w:eastAsia="zh-CN"/>
        </w:rPr>
        <w:t>观音互通经G245至S103连接线建设工程环境影响评价生态专章编制</w:t>
      </w:r>
      <w:r>
        <w:rPr>
          <w:rFonts w:hint="default" w:ascii="Times New Roman" w:hAnsi="Times New Roman" w:eastAsia="仿宋" w:cs="Times New Roman"/>
          <w:snapToGrid w:val="0"/>
          <w:color w:val="auto"/>
          <w:kern w:val="0"/>
          <w:sz w:val="24"/>
        </w:rPr>
        <w:t>服务事宜达成一致，订立本合同。</w:t>
      </w:r>
    </w:p>
    <w:p w14:paraId="3E0BAD28">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cs="Times New Roman"/>
          <w:color w:val="auto"/>
          <w:kern w:val="0"/>
          <w:sz w:val="24"/>
        </w:rPr>
      </w:pPr>
      <w:r>
        <w:rPr>
          <w:rFonts w:hint="default" w:ascii="Times New Roman" w:hAnsi="Times New Roman" w:eastAsia="仿宋_GB2312" w:cs="Times New Roman"/>
          <w:b/>
          <w:snapToGrid w:val="0"/>
          <w:color w:val="auto"/>
          <w:kern w:val="0"/>
          <w:sz w:val="24"/>
        </w:rPr>
        <w:t>第一条 本合同签订依据</w:t>
      </w:r>
    </w:p>
    <w:p w14:paraId="37AEF3A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1.1《中华人民共和国民法典》和《建设工程勘察设计管理条例》。</w:t>
      </w:r>
    </w:p>
    <w:p w14:paraId="366A275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1.2国家及地方、行业有关本专业的法律、法规及相关技术标准和要求。</w:t>
      </w:r>
    </w:p>
    <w:p w14:paraId="2451AD7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1.3建设工程批准文件。</w:t>
      </w:r>
    </w:p>
    <w:p w14:paraId="33AA9B10">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第二条 合同文件的优先次序</w:t>
      </w:r>
    </w:p>
    <w:p w14:paraId="3A7736D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本合同的相关询价文件、报价文件、中标文件、合同履行过程中的往来函件等均为本合同的组成部分。构成本合同的文件可视为是能互相说明的，如果合同文件存在歧义或不一致，则根据如下优先次序来判断：</w:t>
      </w:r>
    </w:p>
    <w:p w14:paraId="0EF76CEE">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2.1合同协议书及其附件</w:t>
      </w:r>
    </w:p>
    <w:p w14:paraId="058459A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rPr>
        <w:t>2.2</w:t>
      </w:r>
      <w:r>
        <w:rPr>
          <w:rFonts w:hint="default" w:ascii="Times New Roman" w:hAnsi="Times New Roman" w:eastAsia="仿宋" w:cs="Times New Roman"/>
          <w:snapToGrid w:val="0"/>
          <w:color w:val="auto"/>
          <w:kern w:val="0"/>
          <w:sz w:val="24"/>
          <w:lang w:eastAsia="zh-CN"/>
        </w:rPr>
        <w:t>外部供应采购工作通知单</w:t>
      </w:r>
      <w:r>
        <w:rPr>
          <w:rFonts w:hint="eastAsia" w:ascii="Times New Roman" w:hAnsi="Times New Roman" w:eastAsia="仿宋" w:cs="Times New Roman"/>
          <w:snapToGrid w:val="0"/>
          <w:color w:val="auto"/>
          <w:kern w:val="0"/>
          <w:sz w:val="24"/>
          <w:lang w:val="en-US" w:eastAsia="zh-CN"/>
        </w:rPr>
        <w:t>或中标通知书</w:t>
      </w:r>
    </w:p>
    <w:p w14:paraId="0578DBA1">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2.3甲方要求及委托书</w:t>
      </w:r>
    </w:p>
    <w:p w14:paraId="12DBB27C">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2.4</w:t>
      </w:r>
      <w:r>
        <w:rPr>
          <w:rFonts w:hint="eastAsia" w:ascii="Times New Roman" w:hAnsi="Times New Roman" w:eastAsia="仿宋" w:cs="Times New Roman"/>
          <w:snapToGrid w:val="0"/>
          <w:color w:val="auto"/>
          <w:kern w:val="0"/>
          <w:sz w:val="24"/>
          <w:lang w:val="en-US" w:eastAsia="zh-CN"/>
        </w:rPr>
        <w:t>报价</w:t>
      </w:r>
      <w:r>
        <w:rPr>
          <w:rFonts w:hint="default" w:ascii="Times New Roman" w:hAnsi="Times New Roman" w:eastAsia="仿宋" w:cs="Times New Roman"/>
          <w:snapToGrid w:val="0"/>
          <w:color w:val="auto"/>
          <w:kern w:val="0"/>
          <w:sz w:val="24"/>
        </w:rPr>
        <w:t>文件</w:t>
      </w:r>
    </w:p>
    <w:p w14:paraId="52CFA6E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rPr>
        <w:t>2.5</w:t>
      </w:r>
      <w:r>
        <w:rPr>
          <w:rFonts w:hint="eastAsia" w:ascii="Times New Roman" w:hAnsi="Times New Roman" w:eastAsia="仿宋" w:cs="Times New Roman"/>
          <w:snapToGrid w:val="0"/>
          <w:color w:val="auto"/>
          <w:kern w:val="0"/>
          <w:sz w:val="24"/>
          <w:lang w:val="en-US" w:eastAsia="zh-CN"/>
        </w:rPr>
        <w:t>询价文件</w:t>
      </w:r>
    </w:p>
    <w:p w14:paraId="1A78801E">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第三条 本合同项目的名称、规模、阶段、概况及投资情</w:t>
      </w:r>
    </w:p>
    <w:p w14:paraId="3C1FCFC4">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color w:val="auto"/>
          <w:sz w:val="24"/>
          <w:u w:val="single"/>
          <w:lang w:eastAsia="zh-CN"/>
        </w:rPr>
      </w:pPr>
      <w:r>
        <w:rPr>
          <w:rFonts w:hint="default" w:ascii="Times New Roman" w:hAnsi="Times New Roman" w:eastAsia="仿宋" w:cs="Times New Roman"/>
          <w:snapToGrid w:val="0"/>
          <w:color w:val="auto"/>
          <w:kern w:val="0"/>
          <w:sz w:val="24"/>
        </w:rPr>
        <w:t>3.1项目名称:</w:t>
      </w:r>
      <w:r>
        <w:rPr>
          <w:rFonts w:hint="default" w:ascii="Times New Roman" w:hAnsi="Times New Roman" w:eastAsia="仿宋" w:cs="Times New Roman"/>
          <w:snapToGrid w:val="0"/>
          <w:color w:val="auto"/>
          <w:kern w:val="0"/>
          <w:sz w:val="24"/>
          <w:lang w:val="en-US" w:eastAsia="zh-CN"/>
        </w:rPr>
        <w:t>观音互通经G245至S103连接线建设工程环境影响评价生态专章编制</w:t>
      </w:r>
    </w:p>
    <w:p w14:paraId="71490D1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color w:val="auto"/>
          <w:sz w:val="24"/>
          <w:highlight w:val="none"/>
          <w:u w:val="single"/>
        </w:rPr>
      </w:pPr>
      <w:r>
        <w:rPr>
          <w:rFonts w:hint="default" w:ascii="Times New Roman" w:hAnsi="Times New Roman" w:eastAsia="仿宋" w:cs="Times New Roman"/>
          <w:snapToGrid w:val="0"/>
          <w:color w:val="auto"/>
          <w:kern w:val="0"/>
          <w:sz w:val="24"/>
          <w:highlight w:val="none"/>
        </w:rPr>
        <w:t>3.2项目规模</w:t>
      </w:r>
      <w:r>
        <w:rPr>
          <w:rFonts w:hint="default" w:ascii="Times New Roman" w:hAnsi="Times New Roman" w:eastAsia="仿宋" w:cs="Times New Roman"/>
          <w:snapToGrid w:val="0"/>
          <w:color w:val="auto"/>
          <w:kern w:val="0"/>
          <w:sz w:val="24"/>
          <w:highlight w:val="none"/>
          <w:lang w:eastAsia="zh-CN"/>
        </w:rPr>
        <w:t>：</w:t>
      </w:r>
      <w:r>
        <w:rPr>
          <w:rFonts w:hint="default" w:ascii="Times New Roman" w:hAnsi="Times New Roman" w:eastAsia="仿宋_GB2312" w:cs="Times New Roman"/>
          <w:color w:val="000000"/>
          <w:sz w:val="24"/>
          <w:szCs w:val="24"/>
          <w:shd w:val="clear" w:color="auto" w:fill="FFFFFF"/>
          <w:lang w:val="en-US" w:eastAsia="zh-CN"/>
        </w:rPr>
        <w:t>主线全长约</w:t>
      </w:r>
      <w:r>
        <w:rPr>
          <w:rFonts w:hint="eastAsia" w:ascii="Times New Roman" w:hAnsi="Times New Roman" w:eastAsia="仿宋_GB2312" w:cs="Times New Roman"/>
          <w:color w:val="000000"/>
          <w:sz w:val="24"/>
          <w:szCs w:val="24"/>
          <w:shd w:val="clear" w:color="auto" w:fill="FFFFFF"/>
          <w:lang w:val="en-US" w:eastAsia="zh-CN"/>
        </w:rPr>
        <w:t>7</w:t>
      </w:r>
      <w:r>
        <w:rPr>
          <w:rFonts w:hint="default" w:ascii="Times New Roman" w:hAnsi="Times New Roman" w:eastAsia="仿宋_GB2312" w:cs="Times New Roman"/>
          <w:color w:val="000000"/>
          <w:sz w:val="24"/>
          <w:szCs w:val="24"/>
          <w:shd w:val="clear" w:color="auto" w:fill="FFFFFF"/>
          <w:lang w:val="en-US" w:eastAsia="zh-CN"/>
        </w:rPr>
        <w:t>公里。总投资估算为</w:t>
      </w:r>
      <w:r>
        <w:rPr>
          <w:rFonts w:hint="eastAsia" w:ascii="Times New Roman" w:hAnsi="Times New Roman" w:eastAsia="仿宋_GB2312" w:cs="Times New Roman"/>
          <w:color w:val="000000"/>
          <w:sz w:val="24"/>
          <w:szCs w:val="24"/>
          <w:shd w:val="clear" w:color="auto" w:fill="FFFFFF"/>
          <w:lang w:val="en-US" w:eastAsia="zh-CN"/>
        </w:rPr>
        <w:t>7.6</w:t>
      </w:r>
      <w:r>
        <w:rPr>
          <w:rFonts w:hint="default" w:ascii="Times New Roman" w:hAnsi="Times New Roman" w:eastAsia="仿宋_GB2312" w:cs="Times New Roman"/>
          <w:color w:val="000000"/>
          <w:sz w:val="24"/>
          <w:szCs w:val="24"/>
          <w:shd w:val="clear" w:color="auto" w:fill="FFFFFF"/>
          <w:lang w:val="en-US" w:eastAsia="zh-CN"/>
        </w:rPr>
        <w:t>亿元。</w:t>
      </w:r>
    </w:p>
    <w:p w14:paraId="2295747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color w:val="auto"/>
          <w:sz w:val="24"/>
          <w:highlight w:val="none"/>
          <w:u w:val="single"/>
          <w:lang w:val="en-US" w:eastAsia="zh-CN"/>
        </w:rPr>
      </w:pPr>
      <w:r>
        <w:rPr>
          <w:rFonts w:hint="default" w:ascii="Times New Roman" w:hAnsi="Times New Roman" w:eastAsia="仿宋" w:cs="Times New Roman"/>
          <w:snapToGrid w:val="0"/>
          <w:color w:val="auto"/>
          <w:kern w:val="0"/>
          <w:sz w:val="24"/>
        </w:rPr>
        <w:t>3.3项目阶段：</w:t>
      </w:r>
      <w:r>
        <w:rPr>
          <w:rFonts w:hint="default" w:ascii="Times New Roman" w:hAnsi="Times New Roman" w:eastAsia="仿宋" w:cs="Times New Roman"/>
          <w:snapToGrid w:val="0"/>
          <w:color w:val="auto"/>
          <w:kern w:val="0"/>
          <w:sz w:val="24"/>
          <w:highlight w:val="none"/>
          <w:lang w:val="en-US" w:eastAsia="zh-CN"/>
        </w:rPr>
        <w:t>初步设计阶段</w:t>
      </w:r>
    </w:p>
    <w:p w14:paraId="7F041751">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textAlignment w:val="auto"/>
        <w:outlineLvl w:val="9"/>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rPr>
        <w:t>3.4项目概况及投资情况：</w:t>
      </w:r>
      <w:r>
        <w:rPr>
          <w:rFonts w:hint="default" w:ascii="Times New Roman" w:hAnsi="Times New Roman" w:eastAsia="仿宋" w:cs="Times New Roman"/>
          <w:snapToGrid w:val="0"/>
          <w:color w:val="auto"/>
          <w:kern w:val="0"/>
          <w:sz w:val="24"/>
          <w:lang w:val="en-US" w:eastAsia="zh-CN"/>
        </w:rPr>
        <w:t>本项目位于四川省眉山市彭山区中部，整体走向自东向西。起点位于江口街道武阳社区江渎村附近，与S103平交，经江口街道、观音街道，终点止于观音街道椿巅村附近，与青龙工业大道平交，顺接成乐高速观音互通连接线，路线全长6.865公里。自起点向西，先后平交S103、上跨岷江、上跨滨江大道北延线、平交G245、下穿成昆铁路及复线、平交青龙工业大道。自起点向东可利用S103和视青路接至天眉乐高速公路，自终点向西可接至成乐高速公路。本项目按一级公路标准建设，设计速度80km/h，双向六车道路基宽度30m，总投资约7.6亿元</w:t>
      </w:r>
      <w:r>
        <w:rPr>
          <w:rFonts w:hint="eastAsia" w:ascii="Times New Roman" w:hAnsi="Times New Roman" w:eastAsia="仿宋" w:cs="Times New Roman"/>
          <w:snapToGrid w:val="0"/>
          <w:color w:val="auto"/>
          <w:kern w:val="0"/>
          <w:sz w:val="24"/>
          <w:lang w:val="en-US" w:eastAsia="zh-CN"/>
        </w:rPr>
        <w:t>，</w:t>
      </w:r>
      <w:r>
        <w:rPr>
          <w:rFonts w:hint="default" w:ascii="Times New Roman" w:hAnsi="Times New Roman" w:eastAsia="仿宋" w:cs="Times New Roman"/>
          <w:snapToGrid w:val="0"/>
          <w:color w:val="auto"/>
          <w:kern w:val="0"/>
          <w:sz w:val="24"/>
          <w:highlight w:val="none"/>
          <w:lang w:val="en-US" w:eastAsia="zh-CN"/>
        </w:rPr>
        <w:t>建设内容包括：路基、路面、桥涵、隧道（含机电）路线交叉、交通安全措施、配套附属设施（停车区、服务区、电力设施、管养中心）以及永临结合工程、外部供电工程等</w:t>
      </w:r>
      <w:r>
        <w:rPr>
          <w:rFonts w:hint="default" w:ascii="Times New Roman" w:hAnsi="Times New Roman" w:eastAsia="仿宋" w:cs="Times New Roman"/>
          <w:snapToGrid w:val="0"/>
          <w:color w:val="auto"/>
          <w:kern w:val="0"/>
          <w:sz w:val="24"/>
          <w:highlight w:val="none"/>
        </w:rPr>
        <w:t>。</w:t>
      </w:r>
      <w:r>
        <w:rPr>
          <w:rFonts w:hint="default" w:ascii="Times New Roman" w:hAnsi="Times New Roman" w:eastAsia="仿宋" w:cs="Times New Roman"/>
          <w:snapToGrid w:val="0"/>
          <w:color w:val="auto"/>
          <w:kern w:val="0"/>
          <w:sz w:val="24"/>
          <w:lang w:val="en-US" w:eastAsia="zh-CN"/>
        </w:rPr>
        <w:t>（若工程规模发生变化，以立项文件为准）</w:t>
      </w:r>
    </w:p>
    <w:p w14:paraId="7F8484F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textAlignment w:val="auto"/>
        <w:outlineLvl w:val="9"/>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lang w:val="en-US" w:eastAsia="zh-CN"/>
        </w:rPr>
        <w:t>根据《建设项目环境影响评价技术导则—总纲》（HJ 2.1-2016）、《环境影响评价技术导则 生态影响》（HJ19-2022）和《环境影响评价技术导则 公路建设项目》（HJ1358-2024）相关导则，需要编制项目建设对评价区域内陆生生态和水生生态影响分析相关内容，并制定切实可行的保护措施，同时完成环评报告所需相关附图附件。</w:t>
      </w:r>
    </w:p>
    <w:p w14:paraId="132AF3AC">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textAlignment w:val="auto"/>
        <w:outlineLvl w:val="9"/>
        <w:rPr>
          <w:rFonts w:hint="default" w:ascii="Times New Roman" w:hAnsi="Times New Roman" w:eastAsia="仿宋" w:cs="Times New Roman"/>
          <w:snapToGrid w:val="0"/>
          <w:color w:val="auto"/>
          <w:kern w:val="0"/>
          <w:sz w:val="24"/>
          <w:szCs w:val="24"/>
          <w:lang w:val="en-US" w:eastAsia="zh-CN"/>
        </w:rPr>
      </w:pPr>
      <w:r>
        <w:rPr>
          <w:rFonts w:hint="default" w:ascii="Times New Roman" w:hAnsi="Times New Roman" w:eastAsia="仿宋" w:cs="Times New Roman"/>
          <w:snapToGrid w:val="0"/>
          <w:color w:val="auto"/>
          <w:kern w:val="0"/>
          <w:sz w:val="24"/>
          <w:lang w:val="en-US" w:eastAsia="zh-CN"/>
        </w:rPr>
        <w:t>经初步排查，本项目不涉及环境敏感区，项目观音岷江大桥跨越岷江，有涉水墩。建议本项目水生生态按二级评价深度进行现场调查，长度约1km；建议本项目陆生生态按三级评价深度进行现场调查，长度约6km。</w:t>
      </w:r>
      <w:r>
        <w:rPr>
          <w:rFonts w:hint="default" w:ascii="Times New Roman" w:hAnsi="Times New Roman" w:eastAsia="仿宋" w:cs="Times New Roman"/>
          <w:snapToGrid w:val="0"/>
          <w:color w:val="auto"/>
          <w:kern w:val="0"/>
          <w:sz w:val="24"/>
          <w:szCs w:val="24"/>
          <w:lang w:val="en-US" w:eastAsia="zh-CN"/>
        </w:rPr>
        <w:t>（路线尚未稳定，生态评价内容、等级需根据路线变化情况进行调整。）</w:t>
      </w:r>
    </w:p>
    <w:p w14:paraId="78EAC8F3">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第四条 工作内容和质量要求</w:t>
      </w:r>
    </w:p>
    <w:p w14:paraId="56B7BCFF">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_GB2312" w:cs="Times New Roman"/>
          <w:color w:val="000000"/>
          <w:sz w:val="24"/>
          <w:szCs w:val="24"/>
          <w:shd w:val="clear" w:color="auto" w:fill="FFFFFF"/>
        </w:rPr>
      </w:pPr>
      <w:r>
        <w:rPr>
          <w:rFonts w:hint="default" w:ascii="Times New Roman" w:hAnsi="Times New Roman" w:eastAsia="仿宋" w:cs="Times New Roman"/>
          <w:snapToGrid w:val="0"/>
          <w:color w:val="auto"/>
          <w:kern w:val="0"/>
          <w:sz w:val="24"/>
          <w:szCs w:val="24"/>
        </w:rPr>
        <w:t>4.1乙方的工作内容为：完成</w:t>
      </w:r>
      <w:r>
        <w:rPr>
          <w:rFonts w:hint="default" w:ascii="Times New Roman" w:hAnsi="Times New Roman" w:eastAsia="仿宋" w:cs="Times New Roman"/>
          <w:snapToGrid w:val="0"/>
          <w:color w:val="auto"/>
          <w:kern w:val="0"/>
          <w:sz w:val="24"/>
          <w:szCs w:val="24"/>
          <w:lang w:val="en-US" w:eastAsia="zh-CN"/>
        </w:rPr>
        <w:t>观音互通经G245至S103连接线建设工程环境影响评价生态专章</w:t>
      </w:r>
      <w:r>
        <w:rPr>
          <w:rFonts w:hint="default" w:ascii="Times New Roman" w:hAnsi="Times New Roman" w:eastAsia="仿宋" w:cs="Times New Roman"/>
          <w:snapToGrid w:val="0"/>
          <w:color w:val="auto"/>
          <w:kern w:val="0"/>
          <w:sz w:val="24"/>
          <w:szCs w:val="24"/>
        </w:rPr>
        <w:t>编写并通过我公司验收合格，专章内容深度需满足本项目环境影响评价要求，同时配合我公司后续取得该项目环境影响评价批复。</w:t>
      </w:r>
      <w:r>
        <w:rPr>
          <w:rFonts w:hint="default" w:ascii="Times New Roman" w:hAnsi="Times New Roman" w:eastAsia="仿宋" w:cs="Times New Roman"/>
          <w:snapToGrid w:val="0"/>
          <w:color w:val="auto"/>
          <w:kern w:val="0"/>
          <w:sz w:val="24"/>
          <w:szCs w:val="24"/>
          <w:lang w:eastAsia="zh-CN"/>
        </w:rPr>
        <w:t>（配合工作包括:参与环评审查会、配合环评单位修改完成环评报告中生态专章相关内容，生态专章编制的参考技术资料、全套外业调查资料、影像资料、矢量文件等）</w:t>
      </w:r>
      <w:r>
        <w:rPr>
          <w:rFonts w:hint="default" w:ascii="Times New Roman" w:hAnsi="Times New Roman" w:eastAsia="仿宋" w:cs="Times New Roman"/>
          <w:snapToGrid w:val="0"/>
          <w:color w:val="auto"/>
          <w:kern w:val="0"/>
          <w:sz w:val="24"/>
          <w:szCs w:val="24"/>
        </w:rPr>
        <w:t>。</w:t>
      </w:r>
    </w:p>
    <w:p w14:paraId="3B3D09A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szCs w:val="24"/>
          <w:lang w:val="en-US" w:eastAsia="zh-CN"/>
        </w:rPr>
      </w:pPr>
      <w:r>
        <w:rPr>
          <w:rFonts w:hint="default" w:ascii="Times New Roman" w:hAnsi="Times New Roman" w:eastAsia="仿宋" w:cs="Times New Roman"/>
          <w:snapToGrid w:val="0"/>
          <w:color w:val="auto"/>
          <w:kern w:val="0"/>
          <w:sz w:val="24"/>
          <w:szCs w:val="24"/>
          <w:lang w:val="en-US" w:eastAsia="zh-CN"/>
        </w:rPr>
        <w:t>4.2乙方提供执行的技术标准应满足以下规范性文件的规定：</w:t>
      </w:r>
    </w:p>
    <w:p w14:paraId="3BE36779">
      <w:pPr>
        <w:keepNext w:val="0"/>
        <w:keepLines w:val="0"/>
        <w:pageBreakBefore w:val="0"/>
        <w:widowControl w:val="0"/>
        <w:kinsoku/>
        <w:wordWrap/>
        <w:overflowPunct w:val="0"/>
        <w:topLinePunct/>
        <w:autoSpaceDE w:val="0"/>
        <w:autoSpaceDN w:val="0"/>
        <w:bidi w:val="0"/>
        <w:adjustRightInd w:val="0"/>
        <w:snapToGrid w:val="0"/>
        <w:spacing w:line="360" w:lineRule="auto"/>
        <w:ind w:firstLine="480" w:firstLineChars="200"/>
        <w:jc w:val="both"/>
        <w:textAlignment w:val="baseline"/>
        <w:outlineLvl w:val="9"/>
        <w:rPr>
          <w:rFonts w:hint="default" w:ascii="Times New Roman" w:hAnsi="Times New Roman" w:eastAsia="仿宋" w:cs="Times New Roman"/>
          <w:sz w:val="24"/>
          <w:szCs w:val="24"/>
        </w:rPr>
      </w:pPr>
      <w:r>
        <w:rPr>
          <w:rFonts w:hint="default" w:ascii="Times New Roman" w:hAnsi="Times New Roman" w:eastAsia="仿宋" w:cs="Times New Roman"/>
          <w:sz w:val="24"/>
          <w:szCs w:val="24"/>
          <w:lang w:val="en-US" w:eastAsia="zh-CN"/>
        </w:rPr>
        <w:t>4</w:t>
      </w:r>
      <w:r>
        <w:rPr>
          <w:rFonts w:hint="default" w:ascii="Times New Roman" w:hAnsi="Times New Roman" w:eastAsia="仿宋" w:cs="Times New Roman"/>
          <w:sz w:val="24"/>
          <w:szCs w:val="24"/>
        </w:rPr>
        <w:t>.2.1</w:t>
      </w:r>
      <w:r>
        <w:rPr>
          <w:rFonts w:hint="default" w:ascii="Times New Roman" w:hAnsi="Times New Roman" w:eastAsia="仿宋" w:cs="Times New Roman"/>
          <w:sz w:val="24"/>
          <w:szCs w:val="24"/>
          <w:lang w:val="en-US" w:eastAsia="zh-CN"/>
        </w:rPr>
        <w:t xml:space="preserve"> 《中华人民共和国环境保护法》</w:t>
      </w:r>
    </w:p>
    <w:p w14:paraId="1986BFA9">
      <w:pPr>
        <w:keepNext w:val="0"/>
        <w:keepLines w:val="0"/>
        <w:pageBreakBefore w:val="0"/>
        <w:widowControl w:val="0"/>
        <w:kinsoku/>
        <w:wordWrap/>
        <w:overflowPunct w:val="0"/>
        <w:topLinePunct/>
        <w:autoSpaceDE w:val="0"/>
        <w:autoSpaceDN w:val="0"/>
        <w:bidi w:val="0"/>
        <w:adjustRightInd w:val="0"/>
        <w:snapToGrid w:val="0"/>
        <w:spacing w:line="360" w:lineRule="auto"/>
        <w:ind w:firstLine="480" w:firstLineChars="200"/>
        <w:jc w:val="both"/>
        <w:textAlignment w:val="baseline"/>
        <w:outlineLvl w:val="9"/>
        <w:rPr>
          <w:rFonts w:hint="default" w:ascii="Times New Roman" w:hAnsi="Times New Roman" w:eastAsia="仿宋" w:cs="Times New Roman"/>
          <w:sz w:val="24"/>
          <w:szCs w:val="24"/>
        </w:rPr>
      </w:pPr>
      <w:r>
        <w:rPr>
          <w:rFonts w:hint="default" w:ascii="Times New Roman" w:hAnsi="Times New Roman" w:eastAsia="仿宋" w:cs="Times New Roman"/>
          <w:sz w:val="24"/>
          <w:szCs w:val="24"/>
          <w:lang w:val="en-US" w:eastAsia="zh-CN"/>
        </w:rPr>
        <w:t>4</w:t>
      </w:r>
      <w:r>
        <w:rPr>
          <w:rFonts w:hint="default" w:ascii="Times New Roman" w:hAnsi="Times New Roman" w:eastAsia="仿宋" w:cs="Times New Roman"/>
          <w:sz w:val="24"/>
          <w:szCs w:val="24"/>
        </w:rPr>
        <w:t>.2.2</w:t>
      </w:r>
      <w:r>
        <w:rPr>
          <w:rFonts w:hint="default" w:ascii="Times New Roman" w:hAnsi="Times New Roman" w:eastAsia="仿宋" w:cs="Times New Roman"/>
          <w:sz w:val="24"/>
          <w:szCs w:val="24"/>
          <w:lang w:val="en-US" w:eastAsia="zh-CN"/>
        </w:rPr>
        <w:t xml:space="preserve"> 《建设项目环境影响评价技术导则 总纲》（HJ2.1-2016）</w:t>
      </w:r>
    </w:p>
    <w:p w14:paraId="00596F2A">
      <w:pPr>
        <w:keepNext w:val="0"/>
        <w:keepLines w:val="0"/>
        <w:pageBreakBefore w:val="0"/>
        <w:widowControl w:val="0"/>
        <w:kinsoku/>
        <w:wordWrap/>
        <w:overflowPunct w:val="0"/>
        <w:topLinePunct/>
        <w:autoSpaceDE w:val="0"/>
        <w:autoSpaceDN w:val="0"/>
        <w:bidi w:val="0"/>
        <w:adjustRightInd w:val="0"/>
        <w:snapToGrid w:val="0"/>
        <w:spacing w:line="360" w:lineRule="auto"/>
        <w:ind w:firstLine="480" w:firstLineChars="200"/>
        <w:jc w:val="both"/>
        <w:textAlignment w:val="baseline"/>
        <w:outlineLvl w:val="9"/>
        <w:rPr>
          <w:rFonts w:hint="default" w:ascii="Times New Roman" w:hAnsi="Times New Roman" w:eastAsia="仿宋" w:cs="Times New Roman"/>
          <w:sz w:val="24"/>
          <w:szCs w:val="24"/>
        </w:rPr>
      </w:pPr>
      <w:r>
        <w:rPr>
          <w:rFonts w:hint="default" w:ascii="Times New Roman" w:hAnsi="Times New Roman" w:eastAsia="仿宋" w:cs="Times New Roman"/>
          <w:sz w:val="24"/>
          <w:szCs w:val="24"/>
          <w:lang w:val="en-US" w:eastAsia="zh-CN"/>
        </w:rPr>
        <w:t>4</w:t>
      </w:r>
      <w:r>
        <w:rPr>
          <w:rFonts w:hint="default" w:ascii="Times New Roman" w:hAnsi="Times New Roman" w:eastAsia="仿宋" w:cs="Times New Roman"/>
          <w:sz w:val="24"/>
          <w:szCs w:val="24"/>
        </w:rPr>
        <w:t>.2.3 《环境影响评价技术导则</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生态影响》（HJ</w:t>
      </w:r>
      <w:r>
        <w:rPr>
          <w:rFonts w:hint="default"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rPr>
        <w:t>19-2022）</w:t>
      </w:r>
    </w:p>
    <w:p w14:paraId="3DBFD3B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eastAsia" w:ascii="Times New Roman" w:hAnsi="Times New Roman" w:eastAsia="仿宋" w:cs="Times New Roman"/>
          <w:snapToGrid w:val="0"/>
          <w:color w:val="auto"/>
          <w:kern w:val="0"/>
          <w:sz w:val="24"/>
          <w:szCs w:val="24"/>
          <w:lang w:val="en-US" w:eastAsia="zh-CN"/>
        </w:rPr>
      </w:pPr>
      <w:r>
        <w:rPr>
          <w:rFonts w:hint="eastAsia" w:ascii="Times New Roman" w:hAnsi="Times New Roman" w:eastAsia="仿宋" w:cs="Times New Roman"/>
          <w:snapToGrid w:val="0"/>
          <w:color w:val="auto"/>
          <w:kern w:val="0"/>
          <w:sz w:val="24"/>
          <w:szCs w:val="24"/>
          <w:lang w:val="en-US" w:eastAsia="zh-CN"/>
        </w:rPr>
        <w:t>4.2.4《环境影响评价技术导则 公路建设项目》（HJ1358-2024）</w:t>
      </w:r>
    </w:p>
    <w:p w14:paraId="31F5444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szCs w:val="24"/>
        </w:rPr>
      </w:pPr>
      <w:r>
        <w:rPr>
          <w:rFonts w:hint="default" w:ascii="Times New Roman" w:hAnsi="Times New Roman" w:eastAsia="仿宋" w:cs="Times New Roman"/>
          <w:snapToGrid w:val="0"/>
          <w:color w:val="auto"/>
          <w:kern w:val="0"/>
          <w:sz w:val="24"/>
          <w:szCs w:val="24"/>
        </w:rPr>
        <w:t>4.3乙方提供的成果文件质量应满足以下要求：满足国家、省市及行业技术要求，</w:t>
      </w:r>
      <w:r>
        <w:rPr>
          <w:rFonts w:hint="default" w:ascii="Times New Roman" w:hAnsi="Times New Roman" w:eastAsia="仿宋" w:cs="Times New Roman"/>
          <w:snapToGrid w:val="0"/>
          <w:color w:val="auto"/>
          <w:kern w:val="0"/>
          <w:sz w:val="24"/>
          <w:szCs w:val="24"/>
          <w:lang w:eastAsia="zh-CN"/>
        </w:rPr>
        <w:t>取得</w:t>
      </w:r>
      <w:r>
        <w:rPr>
          <w:rFonts w:hint="default" w:ascii="Times New Roman" w:hAnsi="Times New Roman" w:eastAsia="仿宋" w:cs="Times New Roman"/>
          <w:snapToGrid w:val="0"/>
          <w:color w:val="auto"/>
          <w:kern w:val="0"/>
          <w:sz w:val="24"/>
          <w:szCs w:val="24"/>
        </w:rPr>
        <w:t>主管部门</w:t>
      </w:r>
      <w:r>
        <w:rPr>
          <w:rFonts w:hint="default" w:ascii="Times New Roman" w:hAnsi="Times New Roman" w:eastAsia="仿宋" w:cs="Times New Roman"/>
          <w:snapToGrid w:val="0"/>
          <w:color w:val="auto"/>
          <w:kern w:val="0"/>
          <w:sz w:val="24"/>
          <w:szCs w:val="24"/>
          <w:lang w:eastAsia="zh-CN"/>
        </w:rPr>
        <w:t>专题</w:t>
      </w:r>
      <w:r>
        <w:rPr>
          <w:rFonts w:hint="default" w:ascii="Times New Roman" w:hAnsi="Times New Roman" w:eastAsia="仿宋" w:cs="Times New Roman"/>
          <w:snapToGrid w:val="0"/>
          <w:color w:val="auto"/>
          <w:kern w:val="0"/>
          <w:sz w:val="24"/>
          <w:szCs w:val="24"/>
        </w:rPr>
        <w:t>批复。</w:t>
      </w:r>
    </w:p>
    <w:p w14:paraId="4D585684">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第五条 甲方向乙方提交的有关资料、文件及时间</w:t>
      </w:r>
    </w:p>
    <w:tbl>
      <w:tblPr>
        <w:tblStyle w:val="8"/>
        <w:tblW w:w="54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3264"/>
        <w:gridCol w:w="2425"/>
        <w:gridCol w:w="2414"/>
      </w:tblGrid>
      <w:tr w14:paraId="4A8C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1" w:type="pct"/>
            <w:tcBorders>
              <w:top w:val="single" w:color="auto" w:sz="4" w:space="0"/>
              <w:left w:val="single" w:color="auto" w:sz="4" w:space="0"/>
              <w:bottom w:val="single" w:color="auto" w:sz="4" w:space="0"/>
              <w:right w:val="single" w:color="auto" w:sz="4" w:space="0"/>
            </w:tcBorders>
            <w:noWrap w:val="0"/>
            <w:vAlign w:val="center"/>
          </w:tcPr>
          <w:p w14:paraId="41739EB9">
            <w:pPr>
              <w:keepNext w:val="0"/>
              <w:keepLines w:val="0"/>
              <w:pageBreakBefore w:val="0"/>
              <w:widowControl w:val="0"/>
              <w:kinsoku/>
              <w:wordWrap/>
              <w:overflowPunct w:val="0"/>
              <w:topLinePunct/>
              <w:autoSpaceDE w:val="0"/>
              <w:autoSpaceDN w:val="0"/>
              <w:bidi w:val="0"/>
              <w:snapToGrid w:val="0"/>
              <w:spacing w:line="36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序号</w:t>
            </w:r>
          </w:p>
        </w:tc>
        <w:tc>
          <w:tcPr>
            <w:tcW w:w="1771" w:type="pct"/>
            <w:tcBorders>
              <w:top w:val="single" w:color="auto" w:sz="4" w:space="0"/>
              <w:left w:val="single" w:color="auto" w:sz="4" w:space="0"/>
              <w:bottom w:val="single" w:color="auto" w:sz="4" w:space="0"/>
              <w:right w:val="single" w:color="auto" w:sz="4" w:space="0"/>
            </w:tcBorders>
            <w:noWrap w:val="0"/>
            <w:vAlign w:val="center"/>
          </w:tcPr>
          <w:p w14:paraId="069A59A9">
            <w:pPr>
              <w:keepNext w:val="0"/>
              <w:keepLines w:val="0"/>
              <w:pageBreakBefore w:val="0"/>
              <w:widowControl w:val="0"/>
              <w:kinsoku/>
              <w:wordWrap/>
              <w:overflowPunct w:val="0"/>
              <w:topLinePunct/>
              <w:autoSpaceDE w:val="0"/>
              <w:autoSpaceDN w:val="0"/>
              <w:bidi w:val="0"/>
              <w:snapToGrid w:val="0"/>
              <w:spacing w:line="36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文件名称</w:t>
            </w:r>
          </w:p>
        </w:tc>
        <w:tc>
          <w:tcPr>
            <w:tcW w:w="1316" w:type="pct"/>
            <w:tcBorders>
              <w:top w:val="single" w:color="auto" w:sz="4" w:space="0"/>
              <w:left w:val="single" w:color="auto" w:sz="4" w:space="0"/>
              <w:bottom w:val="single" w:color="auto" w:sz="4" w:space="0"/>
              <w:right w:val="single" w:color="auto" w:sz="4" w:space="0"/>
            </w:tcBorders>
            <w:noWrap w:val="0"/>
            <w:vAlign w:val="center"/>
          </w:tcPr>
          <w:p w14:paraId="6BBB4F3D">
            <w:pPr>
              <w:keepNext w:val="0"/>
              <w:keepLines w:val="0"/>
              <w:pageBreakBefore w:val="0"/>
              <w:widowControl w:val="0"/>
              <w:kinsoku/>
              <w:wordWrap/>
              <w:overflowPunct w:val="0"/>
              <w:topLinePunct/>
              <w:autoSpaceDE w:val="0"/>
              <w:autoSpaceDN w:val="0"/>
              <w:bidi w:val="0"/>
              <w:snapToGrid w:val="0"/>
              <w:spacing w:line="36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提交时间</w:t>
            </w:r>
          </w:p>
        </w:tc>
        <w:tc>
          <w:tcPr>
            <w:tcW w:w="1310" w:type="pct"/>
            <w:tcBorders>
              <w:top w:val="single" w:color="auto" w:sz="4" w:space="0"/>
              <w:left w:val="single" w:color="auto" w:sz="4" w:space="0"/>
              <w:bottom w:val="single" w:color="auto" w:sz="4" w:space="0"/>
              <w:right w:val="single" w:color="auto" w:sz="4" w:space="0"/>
            </w:tcBorders>
            <w:noWrap w:val="0"/>
            <w:vAlign w:val="center"/>
          </w:tcPr>
          <w:p w14:paraId="4B9F8C0F">
            <w:pPr>
              <w:keepNext w:val="0"/>
              <w:keepLines w:val="0"/>
              <w:pageBreakBefore w:val="0"/>
              <w:widowControl w:val="0"/>
              <w:kinsoku/>
              <w:wordWrap/>
              <w:overflowPunct w:val="0"/>
              <w:topLinePunct/>
              <w:autoSpaceDE w:val="0"/>
              <w:autoSpaceDN w:val="0"/>
              <w:bidi w:val="0"/>
              <w:snapToGrid w:val="0"/>
              <w:spacing w:line="36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备注</w:t>
            </w:r>
          </w:p>
        </w:tc>
      </w:tr>
      <w:tr w14:paraId="03EC6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1" w:type="pct"/>
            <w:tcBorders>
              <w:top w:val="single" w:color="auto" w:sz="4" w:space="0"/>
              <w:left w:val="single" w:color="auto" w:sz="4" w:space="0"/>
              <w:bottom w:val="single" w:color="auto" w:sz="4" w:space="0"/>
              <w:right w:val="single" w:color="auto" w:sz="4" w:space="0"/>
            </w:tcBorders>
            <w:noWrap w:val="0"/>
            <w:vAlign w:val="center"/>
          </w:tcPr>
          <w:p w14:paraId="1498A028">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1</w:t>
            </w:r>
          </w:p>
        </w:tc>
        <w:tc>
          <w:tcPr>
            <w:tcW w:w="1771" w:type="pct"/>
            <w:tcBorders>
              <w:top w:val="single" w:color="auto" w:sz="4" w:space="0"/>
              <w:left w:val="single" w:color="auto" w:sz="4" w:space="0"/>
              <w:bottom w:val="single" w:color="auto" w:sz="4" w:space="0"/>
              <w:right w:val="single" w:color="auto" w:sz="4" w:space="0"/>
            </w:tcBorders>
            <w:noWrap w:val="0"/>
            <w:vAlign w:val="center"/>
          </w:tcPr>
          <w:p w14:paraId="6A1DCA28">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lang w:val="en-US" w:eastAsia="zh-CN"/>
              </w:rPr>
            </w:pPr>
            <w:r>
              <w:rPr>
                <w:rFonts w:hint="default" w:ascii="Times New Roman" w:hAnsi="Times New Roman" w:eastAsia="仿宋" w:cs="Times New Roman"/>
                <w:snapToGrid w:val="0"/>
                <w:color w:val="auto"/>
                <w:kern w:val="0"/>
                <w:sz w:val="24"/>
                <w:lang w:val="en-US" w:eastAsia="zh-CN"/>
              </w:rPr>
              <w:t>基础资料</w:t>
            </w:r>
          </w:p>
          <w:p w14:paraId="108FFD73">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highlight w:val="none"/>
                <w:lang w:val="en-US" w:eastAsia="zh-CN"/>
              </w:rPr>
              <w:t>（包括</w:t>
            </w:r>
            <w:r>
              <w:rPr>
                <w:rFonts w:hint="default" w:ascii="Times New Roman" w:hAnsi="Times New Roman" w:eastAsia="仿宋" w:cs="Times New Roman"/>
                <w:snapToGrid w:val="0"/>
                <w:color w:val="auto"/>
                <w:kern w:val="0"/>
                <w:sz w:val="24"/>
                <w:highlight w:val="none"/>
              </w:rPr>
              <w:t>本项目</w:t>
            </w:r>
            <w:r>
              <w:rPr>
                <w:rFonts w:hint="default" w:ascii="Times New Roman" w:hAnsi="Times New Roman" w:eastAsia="仿宋" w:cs="Times New Roman"/>
                <w:snapToGrid w:val="0"/>
                <w:color w:val="auto"/>
                <w:kern w:val="0"/>
                <w:sz w:val="24"/>
                <w:highlight w:val="none"/>
                <w:lang w:eastAsia="zh-CN"/>
              </w:rPr>
              <w:t>路线方案</w:t>
            </w:r>
            <w:r>
              <w:rPr>
                <w:rFonts w:hint="default" w:ascii="Times New Roman" w:hAnsi="Times New Roman" w:eastAsia="仿宋" w:cs="Times New Roman"/>
                <w:snapToGrid w:val="0"/>
                <w:color w:val="auto"/>
                <w:kern w:val="0"/>
                <w:sz w:val="24"/>
                <w:highlight w:val="none"/>
                <w:lang w:val="en-US" w:eastAsia="zh-CN"/>
              </w:rPr>
              <w:t>矢量数据</w:t>
            </w:r>
            <w:r>
              <w:rPr>
                <w:rFonts w:hint="default" w:ascii="Times New Roman" w:hAnsi="Times New Roman" w:eastAsia="仿宋" w:cs="Times New Roman"/>
                <w:snapToGrid w:val="0"/>
                <w:color w:val="auto"/>
                <w:kern w:val="0"/>
                <w:sz w:val="24"/>
                <w:highlight w:val="none"/>
              </w:rPr>
              <w:t>及其他</w:t>
            </w:r>
            <w:r>
              <w:rPr>
                <w:rFonts w:hint="default" w:ascii="Times New Roman" w:hAnsi="Times New Roman" w:eastAsia="仿宋" w:cs="Times New Roman"/>
                <w:snapToGrid w:val="0"/>
                <w:color w:val="auto"/>
                <w:kern w:val="0"/>
                <w:sz w:val="24"/>
                <w:highlight w:val="none"/>
                <w:lang w:val="en-US" w:eastAsia="zh-CN"/>
              </w:rPr>
              <w:t>与路线方案</w:t>
            </w:r>
            <w:r>
              <w:rPr>
                <w:rFonts w:hint="default" w:ascii="Times New Roman" w:hAnsi="Times New Roman" w:eastAsia="仿宋" w:cs="Times New Roman"/>
                <w:snapToGrid w:val="0"/>
                <w:color w:val="auto"/>
                <w:kern w:val="0"/>
                <w:sz w:val="24"/>
                <w:highlight w:val="none"/>
              </w:rPr>
              <w:t>相关图表</w:t>
            </w:r>
            <w:r>
              <w:rPr>
                <w:rFonts w:hint="default" w:ascii="Times New Roman" w:hAnsi="Times New Roman" w:eastAsia="仿宋" w:cs="Times New Roman"/>
                <w:snapToGrid w:val="0"/>
                <w:color w:val="auto"/>
                <w:kern w:val="0"/>
                <w:sz w:val="24"/>
                <w:highlight w:val="none"/>
                <w:lang w:eastAsia="zh-CN"/>
              </w:rPr>
              <w:t>文字）</w:t>
            </w:r>
          </w:p>
        </w:tc>
        <w:tc>
          <w:tcPr>
            <w:tcW w:w="1316" w:type="pct"/>
            <w:tcBorders>
              <w:top w:val="single" w:color="auto" w:sz="4" w:space="0"/>
              <w:left w:val="single" w:color="auto" w:sz="4" w:space="0"/>
              <w:bottom w:val="single" w:color="auto" w:sz="4" w:space="0"/>
              <w:right w:val="single" w:color="auto" w:sz="4" w:space="0"/>
            </w:tcBorders>
            <w:noWrap w:val="0"/>
            <w:vAlign w:val="center"/>
          </w:tcPr>
          <w:p w14:paraId="229389D7">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highlight w:val="none"/>
                <w:lang w:val="en-US" w:eastAsia="zh-CN"/>
              </w:rPr>
              <w:t>合同签订后5个工作日内提交基础资料</w:t>
            </w:r>
            <w:r>
              <w:rPr>
                <w:rFonts w:hint="default" w:ascii="Times New Roman" w:hAnsi="Times New Roman" w:eastAsia="仿宋" w:cs="Times New Roman"/>
                <w:snapToGrid w:val="0"/>
                <w:color w:val="auto"/>
                <w:kern w:val="0"/>
                <w:sz w:val="24"/>
              </w:rPr>
              <w:t>。</w:t>
            </w:r>
          </w:p>
        </w:tc>
        <w:tc>
          <w:tcPr>
            <w:tcW w:w="1310" w:type="pct"/>
            <w:tcBorders>
              <w:top w:val="single" w:color="auto" w:sz="4" w:space="0"/>
              <w:left w:val="single" w:color="auto" w:sz="4" w:space="0"/>
              <w:bottom w:val="single" w:color="auto" w:sz="4" w:space="0"/>
              <w:right w:val="single" w:color="auto" w:sz="4" w:space="0"/>
            </w:tcBorders>
            <w:noWrap w:val="0"/>
            <w:vAlign w:val="center"/>
          </w:tcPr>
          <w:p w14:paraId="25AE784E">
            <w:pPr>
              <w:keepNext w:val="0"/>
              <w:keepLines w:val="0"/>
              <w:pageBreakBefore w:val="0"/>
              <w:widowControl w:val="0"/>
              <w:kinsoku/>
              <w:wordWrap/>
              <w:overflowPunct w:val="0"/>
              <w:topLinePunct/>
              <w:autoSpaceDE w:val="0"/>
              <w:autoSpaceDN w:val="0"/>
              <w:bidi w:val="0"/>
              <w:snapToGrid w:val="0"/>
              <w:spacing w:line="240" w:lineRule="auto"/>
              <w:jc w:val="center"/>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lang w:val="en-US" w:eastAsia="zh-CN"/>
              </w:rPr>
              <w:t>乙方应主动对接甲方指定联系人，</w:t>
            </w:r>
            <w:r>
              <w:rPr>
                <w:rFonts w:hint="default" w:ascii="Times New Roman" w:hAnsi="Times New Roman" w:eastAsia="仿宋" w:cs="Times New Roman"/>
                <w:snapToGrid w:val="0"/>
                <w:color w:val="auto"/>
                <w:kern w:val="0"/>
                <w:sz w:val="24"/>
                <w:highlight w:val="none"/>
                <w:lang w:val="en-US" w:eastAsia="zh-CN"/>
              </w:rPr>
              <w:t>后续根据设计进展情况，动态补充专章编制所需资料。</w:t>
            </w:r>
          </w:p>
        </w:tc>
      </w:tr>
    </w:tbl>
    <w:p w14:paraId="44426BA8">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第六条 乙方向甲方交付的成果、份数、地点及时间</w:t>
      </w:r>
    </w:p>
    <w:p w14:paraId="6163CE2A">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6.1</w:t>
      </w:r>
      <w:bookmarkStart w:id="0" w:name="_Hlk92982570"/>
      <w:bookmarkStart w:id="1" w:name="_Hlk92466778"/>
      <w:r>
        <w:rPr>
          <w:rFonts w:hint="default" w:ascii="Times New Roman" w:hAnsi="Times New Roman" w:eastAsia="仿宋" w:cs="Times New Roman"/>
          <w:snapToGrid w:val="0"/>
          <w:color w:val="auto"/>
          <w:kern w:val="0"/>
          <w:sz w:val="24"/>
        </w:rPr>
        <w:t>乙方向甲方交付的成果文件</w:t>
      </w:r>
      <w:r>
        <w:rPr>
          <w:rFonts w:hint="default" w:ascii="Times New Roman" w:hAnsi="Times New Roman" w:eastAsia="仿宋" w:cs="Times New Roman"/>
          <w:snapToGrid w:val="0"/>
          <w:color w:val="000000"/>
          <w:kern w:val="0"/>
          <w:sz w:val="24"/>
        </w:rPr>
        <w:t>为</w:t>
      </w:r>
      <w:r>
        <w:rPr>
          <w:rFonts w:hint="default" w:ascii="Times New Roman" w:hAnsi="Times New Roman" w:eastAsia="仿宋" w:cs="Times New Roman"/>
          <w:snapToGrid w:val="0"/>
          <w:color w:val="000000"/>
          <w:kern w:val="0"/>
          <w:sz w:val="24"/>
          <w:lang w:val="en-US" w:eastAsia="zh-CN"/>
        </w:rPr>
        <w:t>本协议第</w:t>
      </w:r>
      <w:r>
        <w:rPr>
          <w:rFonts w:hint="default" w:ascii="Times New Roman" w:hAnsi="Times New Roman" w:eastAsia="仿宋" w:cs="Times New Roman"/>
          <w:snapToGrid w:val="0"/>
          <w:color w:val="000000"/>
          <w:kern w:val="0"/>
          <w:sz w:val="24"/>
        </w:rPr>
        <w:t>4.1</w:t>
      </w:r>
      <w:r>
        <w:rPr>
          <w:rFonts w:hint="default" w:ascii="Times New Roman" w:hAnsi="Times New Roman" w:eastAsia="仿宋" w:cs="Times New Roman"/>
          <w:snapToGrid w:val="0"/>
          <w:color w:val="000000"/>
          <w:kern w:val="0"/>
          <w:sz w:val="24"/>
          <w:lang w:val="en-US" w:eastAsia="zh-CN"/>
        </w:rPr>
        <w:t>条约定的</w:t>
      </w:r>
      <w:r>
        <w:rPr>
          <w:rFonts w:hint="default" w:ascii="Times New Roman" w:hAnsi="Times New Roman" w:eastAsia="仿宋" w:cs="Times New Roman"/>
          <w:snapToGrid w:val="0"/>
          <w:color w:val="000000"/>
          <w:kern w:val="0"/>
          <w:sz w:val="24"/>
        </w:rPr>
        <w:t>所承担内容</w:t>
      </w:r>
      <w:r>
        <w:rPr>
          <w:rFonts w:hint="default" w:ascii="Times New Roman" w:hAnsi="Times New Roman" w:eastAsia="仿宋" w:cs="Times New Roman"/>
          <w:snapToGrid w:val="0"/>
          <w:color w:val="000000"/>
          <w:kern w:val="0"/>
          <w:sz w:val="24"/>
          <w:lang w:val="en-US" w:eastAsia="zh-CN"/>
        </w:rPr>
        <w:t>对应</w:t>
      </w:r>
      <w:r>
        <w:rPr>
          <w:rFonts w:hint="default" w:ascii="Times New Roman" w:hAnsi="Times New Roman" w:eastAsia="仿宋" w:cs="Times New Roman"/>
          <w:snapToGrid w:val="0"/>
          <w:color w:val="000000"/>
          <w:kern w:val="0"/>
          <w:sz w:val="24"/>
        </w:rPr>
        <w:t>的成</w:t>
      </w:r>
      <w:r>
        <w:rPr>
          <w:rFonts w:hint="default" w:ascii="Times New Roman" w:hAnsi="Times New Roman" w:eastAsia="仿宋" w:cs="Times New Roman"/>
          <w:snapToGrid w:val="0"/>
          <w:color w:val="auto"/>
          <w:kern w:val="0"/>
          <w:sz w:val="24"/>
        </w:rPr>
        <w:t>果，</w:t>
      </w:r>
      <w:bookmarkStart w:id="2" w:name="_Hlk92466819"/>
      <w:r>
        <w:rPr>
          <w:rFonts w:hint="default" w:ascii="Times New Roman" w:hAnsi="Times New Roman" w:eastAsia="仿宋" w:cs="Times New Roman"/>
          <w:snapToGrid w:val="0"/>
          <w:color w:val="auto"/>
          <w:kern w:val="0"/>
          <w:sz w:val="24"/>
        </w:rPr>
        <w:t>具体要求为：</w:t>
      </w:r>
      <w:bookmarkEnd w:id="0"/>
      <w:bookmarkEnd w:id="1"/>
      <w:bookmarkEnd w:id="2"/>
      <w:r>
        <w:rPr>
          <w:rFonts w:hint="default" w:ascii="Times New Roman" w:hAnsi="Times New Roman" w:eastAsia="仿宋" w:cs="Times New Roman"/>
          <w:snapToGrid w:val="0"/>
          <w:color w:val="auto"/>
          <w:kern w:val="0"/>
          <w:sz w:val="24"/>
        </w:rPr>
        <w:t>纸质文本5套、可编辑的电子文档（刻录光盘），且所提交资料应满足我公司归档要求</w:t>
      </w:r>
      <w:r>
        <w:rPr>
          <w:rFonts w:hint="default" w:ascii="Times New Roman" w:hAnsi="Times New Roman" w:eastAsia="仿宋" w:cs="Times New Roman"/>
          <w:snapToGrid w:val="0"/>
          <w:kern w:val="0"/>
          <w:sz w:val="24"/>
          <w:szCs w:val="24"/>
        </w:rPr>
        <w:t>。</w:t>
      </w:r>
    </w:p>
    <w:p w14:paraId="73C2112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6.2自甲方提供乙方有关基础资料之日起算，乙方应</w:t>
      </w:r>
      <w:r>
        <w:rPr>
          <w:rFonts w:hint="default" w:ascii="Times New Roman" w:hAnsi="Times New Roman" w:eastAsia="仿宋" w:cs="Times New Roman"/>
          <w:snapToGrid w:val="0"/>
          <w:color w:val="auto"/>
          <w:kern w:val="0"/>
          <w:sz w:val="24"/>
          <w:u w:val="none"/>
          <w:lang w:eastAsia="zh-CN"/>
        </w:rPr>
        <w:t>于</w:t>
      </w:r>
      <w:r>
        <w:rPr>
          <w:rFonts w:hint="eastAsia" w:ascii="Times New Roman" w:hAnsi="Times New Roman" w:eastAsia="仿宋" w:cs="Times New Roman"/>
          <w:snapToGrid w:val="0"/>
          <w:color w:val="auto"/>
          <w:kern w:val="0"/>
          <w:sz w:val="24"/>
          <w:highlight w:val="none"/>
          <w:u w:val="single"/>
          <w:lang w:val="en-US" w:eastAsia="zh-CN"/>
        </w:rPr>
        <w:t xml:space="preserve">  个日历天内</w:t>
      </w:r>
      <w:r>
        <w:rPr>
          <w:rFonts w:hint="default" w:ascii="Times New Roman" w:hAnsi="Times New Roman" w:eastAsia="仿宋" w:cs="Times New Roman"/>
          <w:snapToGrid w:val="0"/>
          <w:color w:val="auto"/>
          <w:kern w:val="0"/>
          <w:sz w:val="24"/>
          <w:lang w:eastAsia="zh-CN"/>
        </w:rPr>
        <w:t>提</w:t>
      </w:r>
      <w:r>
        <w:rPr>
          <w:rFonts w:hint="default" w:ascii="Times New Roman" w:hAnsi="Times New Roman" w:eastAsia="仿宋" w:cs="Times New Roman"/>
          <w:snapToGrid w:val="0"/>
          <w:color w:val="auto"/>
          <w:kern w:val="0"/>
          <w:sz w:val="24"/>
        </w:rPr>
        <w:t>交</w:t>
      </w:r>
      <w:r>
        <w:rPr>
          <w:rFonts w:hint="default" w:ascii="Times New Roman" w:hAnsi="Times New Roman" w:eastAsia="仿宋" w:cs="Times New Roman"/>
          <w:snapToGrid w:val="0"/>
          <w:color w:val="auto"/>
          <w:kern w:val="0"/>
          <w:sz w:val="24"/>
          <w:lang w:val="en-US" w:eastAsia="zh-CN"/>
        </w:rPr>
        <w:t>合格的</w:t>
      </w:r>
      <w:r>
        <w:rPr>
          <w:rFonts w:hint="default" w:ascii="Times New Roman" w:hAnsi="Times New Roman" w:eastAsia="仿宋" w:cs="Times New Roman"/>
          <w:snapToGrid w:val="0"/>
          <w:color w:val="auto"/>
          <w:kern w:val="0"/>
          <w:sz w:val="24"/>
        </w:rPr>
        <w:t>成果文件。</w:t>
      </w:r>
    </w:p>
    <w:p w14:paraId="4C322103">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rPr>
      </w:pPr>
      <w:r>
        <w:rPr>
          <w:rFonts w:hint="default" w:ascii="Times New Roman" w:hAnsi="Times New Roman" w:eastAsia="仿宋" w:cs="Times New Roman"/>
          <w:snapToGrid w:val="0"/>
          <w:color w:val="auto"/>
          <w:kern w:val="0"/>
          <w:sz w:val="24"/>
        </w:rPr>
        <w:t>6.3 提交地点：</w:t>
      </w:r>
      <w:r>
        <w:rPr>
          <w:rFonts w:hint="default" w:ascii="Times New Roman" w:hAnsi="Times New Roman" w:eastAsia="仿宋" w:cs="Times New Roman"/>
          <w:snapToGrid w:val="0"/>
          <w:color w:val="auto"/>
          <w:kern w:val="0"/>
          <w:sz w:val="24"/>
          <w:lang w:eastAsia="zh-CN"/>
        </w:rPr>
        <w:t>成都市双流区顺兴大道一段189号蜀道云上城12栋</w:t>
      </w:r>
      <w:r>
        <w:rPr>
          <w:rFonts w:hint="eastAsia" w:ascii="Times New Roman" w:hAnsi="Times New Roman" w:eastAsia="仿宋" w:cs="Times New Roman"/>
          <w:snapToGrid w:val="0"/>
          <w:color w:val="auto"/>
          <w:kern w:val="0"/>
          <w:sz w:val="24"/>
          <w:lang w:val="en-US" w:eastAsia="zh-CN"/>
        </w:rPr>
        <w:t>1617办公室</w:t>
      </w:r>
      <w:r>
        <w:rPr>
          <w:rFonts w:hint="default" w:ascii="Times New Roman" w:hAnsi="Times New Roman" w:eastAsia="仿宋" w:cs="Times New Roman"/>
          <w:snapToGrid w:val="0"/>
          <w:color w:val="auto"/>
          <w:kern w:val="0"/>
          <w:sz w:val="24"/>
        </w:rPr>
        <w:t>。</w:t>
      </w:r>
    </w:p>
    <w:p w14:paraId="53C3180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kern w:val="0"/>
          <w:sz w:val="24"/>
          <w:u w:val="single"/>
        </w:rPr>
      </w:pPr>
      <w:r>
        <w:rPr>
          <w:rFonts w:hint="default" w:ascii="Times New Roman" w:hAnsi="Times New Roman" w:eastAsia="仿宋" w:cs="Times New Roman"/>
          <w:snapToGrid w:val="0"/>
          <w:color w:val="auto"/>
          <w:kern w:val="0"/>
          <w:sz w:val="24"/>
        </w:rPr>
        <w:t>6.4验收方式和标准：</w:t>
      </w:r>
      <w:r>
        <w:rPr>
          <w:rFonts w:hint="default" w:ascii="Times New Roman" w:hAnsi="Times New Roman" w:eastAsia="仿宋" w:cs="Times New Roman"/>
          <w:snapToGrid w:val="0"/>
          <w:color w:val="auto"/>
          <w:kern w:val="0"/>
          <w:sz w:val="24"/>
          <w:u w:val="single"/>
          <w:lang w:val="en-US"/>
        </w:rPr>
        <w:t>通过甲方验收，以及配合甲方取得本项目环评批复</w:t>
      </w:r>
      <w:r>
        <w:rPr>
          <w:rFonts w:hint="default" w:ascii="Times New Roman" w:hAnsi="Times New Roman" w:eastAsia="仿宋" w:cs="Times New Roman"/>
          <w:snapToGrid w:val="0"/>
          <w:color w:val="auto"/>
          <w:kern w:val="0"/>
          <w:sz w:val="24"/>
          <w:u w:val="single"/>
        </w:rPr>
        <w:t>。</w:t>
      </w:r>
    </w:p>
    <w:p w14:paraId="7C42A1EE">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第七条 合同价款</w:t>
      </w:r>
    </w:p>
    <w:p w14:paraId="39ED5420">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kern w:val="0"/>
          <w:sz w:val="24"/>
          <w:szCs w:val="24"/>
          <w:highlight w:val="none"/>
          <w:lang w:val="en-US" w:eastAsia="zh-CN"/>
        </w:rPr>
      </w:pPr>
      <w:r>
        <w:rPr>
          <w:rFonts w:hint="default" w:ascii="Times New Roman" w:hAnsi="Times New Roman" w:eastAsia="仿宋" w:cs="Times New Roman"/>
          <w:b w:val="0"/>
          <w:bCs/>
          <w:snapToGrid w:val="0"/>
          <w:kern w:val="0"/>
          <w:sz w:val="24"/>
          <w:szCs w:val="24"/>
          <w:highlight w:val="none"/>
          <w:lang w:val="en-US" w:eastAsia="zh-CN"/>
        </w:rPr>
        <w:t>7.1 本协议价款计价模式：</w:t>
      </w:r>
      <w:r>
        <w:rPr>
          <w:rFonts w:hint="eastAsia" w:ascii="仿宋" w:hAnsi="仿宋" w:eastAsia="仿宋" w:cs="仿宋"/>
          <w:b w:val="0"/>
          <w:bCs/>
          <w:snapToGrid w:val="0"/>
          <w:kern w:val="0"/>
          <w:sz w:val="24"/>
          <w:szCs w:val="24"/>
          <w:highlight w:val="none"/>
          <w:lang w:val="en-US" w:eastAsia="zh-CN"/>
        </w:rPr>
        <w:t>☑</w:t>
      </w:r>
      <w:r>
        <w:rPr>
          <w:rFonts w:hint="default" w:ascii="Times New Roman" w:hAnsi="Times New Roman" w:eastAsia="仿宋" w:cs="Times New Roman"/>
          <w:b w:val="0"/>
          <w:bCs/>
          <w:snapToGrid w:val="0"/>
          <w:kern w:val="0"/>
          <w:sz w:val="24"/>
          <w:szCs w:val="24"/>
          <w:highlight w:val="none"/>
          <w:lang w:val="en-US" w:eastAsia="zh-CN"/>
        </w:rPr>
        <w:t xml:space="preserve">总价协议  </w:t>
      </w:r>
      <w:r>
        <w:rPr>
          <w:rFonts w:hint="default" w:ascii="Times New Roman" w:hAnsi="Times New Roman" w:eastAsia="仿宋" w:cs="Times New Roman"/>
          <w:b w:val="0"/>
          <w:bCs/>
          <w:snapToGrid w:val="0"/>
          <w:kern w:val="0"/>
          <w:sz w:val="24"/>
          <w:szCs w:val="24"/>
          <w:highlight w:val="none"/>
          <w:lang w:val="en-US" w:eastAsia="zh-CN"/>
        </w:rPr>
        <w:sym w:font="Wingdings 2" w:char="00A3"/>
      </w:r>
      <w:r>
        <w:rPr>
          <w:rFonts w:hint="default" w:ascii="Times New Roman" w:hAnsi="Times New Roman" w:eastAsia="仿宋" w:cs="Times New Roman"/>
          <w:b w:val="0"/>
          <w:bCs/>
          <w:snapToGrid w:val="0"/>
          <w:kern w:val="0"/>
          <w:sz w:val="24"/>
          <w:szCs w:val="24"/>
          <w:highlight w:val="none"/>
          <w:lang w:val="en-US" w:eastAsia="zh-CN"/>
        </w:rPr>
        <w:t>单价协议。</w:t>
      </w:r>
    </w:p>
    <w:p w14:paraId="75D0DB1A">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kern w:val="0"/>
          <w:sz w:val="24"/>
          <w:szCs w:val="24"/>
          <w:highlight w:val="none"/>
          <w:lang w:val="en-US" w:eastAsia="zh-CN"/>
        </w:rPr>
      </w:pPr>
      <w:r>
        <w:rPr>
          <w:rFonts w:hint="default" w:ascii="Times New Roman" w:hAnsi="Times New Roman" w:eastAsia="仿宋" w:cs="Times New Roman"/>
          <w:b w:val="0"/>
          <w:bCs/>
          <w:snapToGrid w:val="0"/>
          <w:kern w:val="0"/>
          <w:sz w:val="24"/>
          <w:szCs w:val="24"/>
          <w:highlight w:val="none"/>
          <w:lang w:val="en-US" w:eastAsia="zh-CN"/>
        </w:rPr>
        <w:t>7.2 双方商定，本项目含税合同总额为</w:t>
      </w:r>
      <w:r>
        <w:rPr>
          <w:rFonts w:hint="eastAsia" w:ascii="Times New Roman" w:hAnsi="Times New Roman" w:eastAsia="仿宋" w:cs="Times New Roman"/>
          <w:b w:val="0"/>
          <w:bCs/>
          <w:snapToGrid w:val="0"/>
          <w:kern w:val="0"/>
          <w:sz w:val="24"/>
          <w:szCs w:val="24"/>
          <w:highlight w:val="none"/>
          <w:u w:val="single"/>
          <w:lang w:val="en-US" w:eastAsia="zh-CN"/>
        </w:rPr>
        <w:t xml:space="preserve">      </w:t>
      </w:r>
      <w:r>
        <w:rPr>
          <w:rFonts w:hint="default" w:ascii="Times New Roman" w:hAnsi="Times New Roman" w:eastAsia="仿宋" w:cs="Times New Roman"/>
          <w:b w:val="0"/>
          <w:bCs/>
          <w:snapToGrid w:val="0"/>
          <w:kern w:val="0"/>
          <w:sz w:val="24"/>
          <w:szCs w:val="24"/>
          <w:highlight w:val="none"/>
          <w:lang w:val="en-US" w:eastAsia="zh-CN"/>
        </w:rPr>
        <w:t>元（大写人民币</w:t>
      </w:r>
      <w:r>
        <w:rPr>
          <w:rFonts w:hint="eastAsia" w:ascii="Times New Roman" w:hAnsi="Times New Roman" w:eastAsia="仿宋" w:cs="Times New Roman"/>
          <w:b w:val="0"/>
          <w:bCs/>
          <w:snapToGrid w:val="0"/>
          <w:kern w:val="0"/>
          <w:sz w:val="24"/>
          <w:szCs w:val="24"/>
          <w:highlight w:val="none"/>
          <w:lang w:val="en-US" w:eastAsia="zh-CN"/>
        </w:rPr>
        <w:t xml:space="preserve">     </w:t>
      </w:r>
      <w:r>
        <w:rPr>
          <w:rFonts w:hint="default" w:ascii="Times New Roman" w:hAnsi="Times New Roman" w:eastAsia="仿宋" w:cs="Times New Roman"/>
          <w:b w:val="0"/>
          <w:bCs/>
          <w:snapToGrid w:val="0"/>
          <w:kern w:val="0"/>
          <w:sz w:val="24"/>
          <w:szCs w:val="24"/>
          <w:highlight w:val="none"/>
          <w:lang w:val="en-US" w:eastAsia="zh-CN"/>
        </w:rPr>
        <w:t>整），增值税税率：</w:t>
      </w:r>
      <w:r>
        <w:rPr>
          <w:rFonts w:hint="default" w:ascii="Times New Roman" w:hAnsi="Times New Roman" w:eastAsia="仿宋" w:cs="Times New Roman"/>
          <w:b w:val="0"/>
          <w:bCs/>
          <w:snapToGrid w:val="0"/>
          <w:kern w:val="0"/>
          <w:sz w:val="24"/>
          <w:szCs w:val="24"/>
          <w:highlight w:val="none"/>
          <w:lang w:val="en-US" w:eastAsia="zh-CN"/>
        </w:rPr>
        <w:sym w:font="Wingdings 2" w:char="00A3"/>
      </w:r>
      <w:r>
        <w:rPr>
          <w:rFonts w:hint="default" w:ascii="Times New Roman" w:hAnsi="Times New Roman" w:eastAsia="仿宋" w:cs="Times New Roman"/>
          <w:b w:val="0"/>
          <w:bCs/>
          <w:snapToGrid w:val="0"/>
          <w:kern w:val="0"/>
          <w:sz w:val="24"/>
          <w:szCs w:val="24"/>
          <w:highlight w:val="none"/>
          <w:lang w:val="en-US" w:eastAsia="zh-CN"/>
        </w:rPr>
        <w:t>9%、</w:t>
      </w:r>
      <w:r>
        <w:rPr>
          <w:rFonts w:hint="eastAsia" w:ascii="仿宋" w:hAnsi="仿宋" w:eastAsia="仿宋" w:cs="仿宋"/>
          <w:b w:val="0"/>
          <w:bCs/>
          <w:snapToGrid w:val="0"/>
          <w:kern w:val="0"/>
          <w:sz w:val="24"/>
          <w:szCs w:val="24"/>
          <w:highlight w:val="none"/>
          <w:lang w:val="en-US" w:eastAsia="zh-CN"/>
        </w:rPr>
        <w:t>□</w:t>
      </w:r>
      <w:r>
        <w:rPr>
          <w:rFonts w:hint="default" w:ascii="Times New Roman" w:hAnsi="Times New Roman" w:eastAsia="仿宋" w:cs="Times New Roman"/>
          <w:b w:val="0"/>
          <w:bCs/>
          <w:snapToGrid w:val="0"/>
          <w:kern w:val="0"/>
          <w:sz w:val="24"/>
          <w:szCs w:val="24"/>
          <w:highlight w:val="none"/>
          <w:lang w:val="en-US" w:eastAsia="zh-CN"/>
        </w:rPr>
        <w:t>6%、</w:t>
      </w:r>
      <w:r>
        <w:rPr>
          <w:rFonts w:hint="default" w:ascii="Times New Roman" w:hAnsi="Times New Roman" w:eastAsia="仿宋" w:cs="Times New Roman"/>
          <w:b w:val="0"/>
          <w:bCs/>
          <w:snapToGrid w:val="0"/>
          <w:kern w:val="0"/>
          <w:sz w:val="24"/>
          <w:szCs w:val="24"/>
          <w:highlight w:val="none"/>
          <w:lang w:val="en-US" w:eastAsia="zh-CN"/>
        </w:rPr>
        <w:sym w:font="Wingdings 2" w:char="00A3"/>
      </w:r>
      <w:r>
        <w:rPr>
          <w:rFonts w:hint="default" w:ascii="Times New Roman" w:hAnsi="Times New Roman" w:eastAsia="仿宋" w:cs="Times New Roman"/>
          <w:b w:val="0"/>
          <w:bCs/>
          <w:snapToGrid w:val="0"/>
          <w:kern w:val="0"/>
          <w:sz w:val="24"/>
          <w:szCs w:val="24"/>
          <w:highlight w:val="none"/>
          <w:lang w:val="en-US" w:eastAsia="zh-CN"/>
        </w:rPr>
        <w:t>3%（根据实际情况勾选）</w:t>
      </w:r>
      <w:r>
        <w:rPr>
          <w:rFonts w:hint="eastAsia" w:ascii="Times New Roman" w:hAnsi="Times New Roman" w:eastAsia="仿宋" w:cs="Times New Roman"/>
          <w:b w:val="0"/>
          <w:bCs/>
          <w:snapToGrid w:val="0"/>
          <w:kern w:val="0"/>
          <w:sz w:val="24"/>
          <w:szCs w:val="24"/>
          <w:highlight w:val="none"/>
          <w:lang w:val="en-US" w:eastAsia="zh-CN"/>
        </w:rPr>
        <w:t>，</w:t>
      </w:r>
      <w:r>
        <w:rPr>
          <w:rFonts w:hint="default" w:ascii="Times New Roman" w:hAnsi="Times New Roman" w:eastAsia="仿宋" w:cs="Times New Roman"/>
          <w:b w:val="0"/>
          <w:bCs/>
          <w:snapToGrid w:val="0"/>
          <w:kern w:val="0"/>
          <w:sz w:val="24"/>
          <w:szCs w:val="24"/>
          <w:highlight w:val="none"/>
          <w:lang w:val="en-US" w:eastAsia="zh-CN"/>
        </w:rPr>
        <w:t>其中不含税金额</w:t>
      </w:r>
      <w:r>
        <w:rPr>
          <w:rFonts w:hint="eastAsia" w:ascii="Times New Roman" w:hAnsi="Times New Roman" w:eastAsia="仿宋" w:cs="Times New Roman"/>
          <w:b w:val="0"/>
          <w:bCs/>
          <w:snapToGrid w:val="0"/>
          <w:kern w:val="0"/>
          <w:sz w:val="24"/>
          <w:szCs w:val="24"/>
          <w:highlight w:val="none"/>
          <w:lang w:val="en-US" w:eastAsia="zh-CN"/>
        </w:rPr>
        <w:t xml:space="preserve">   </w:t>
      </w:r>
      <w:r>
        <w:rPr>
          <w:rFonts w:hint="default" w:ascii="Times New Roman" w:hAnsi="Times New Roman" w:eastAsia="仿宋" w:cs="Times New Roman"/>
          <w:b w:val="0"/>
          <w:bCs/>
          <w:snapToGrid w:val="0"/>
          <w:kern w:val="0"/>
          <w:sz w:val="24"/>
          <w:szCs w:val="24"/>
          <w:highlight w:val="none"/>
          <w:lang w:val="en-US" w:eastAsia="zh-CN"/>
        </w:rPr>
        <w:t>元，增值税额</w:t>
      </w:r>
      <w:r>
        <w:rPr>
          <w:rFonts w:hint="eastAsia" w:ascii="Times New Roman" w:hAnsi="Times New Roman" w:eastAsia="仿宋" w:cs="Times New Roman"/>
          <w:b w:val="0"/>
          <w:bCs/>
          <w:snapToGrid w:val="0"/>
          <w:kern w:val="0"/>
          <w:sz w:val="24"/>
          <w:szCs w:val="24"/>
          <w:highlight w:val="none"/>
          <w:lang w:val="en-US" w:eastAsia="zh-CN"/>
        </w:rPr>
        <w:t xml:space="preserve">     </w:t>
      </w:r>
      <w:r>
        <w:rPr>
          <w:rFonts w:hint="default" w:ascii="Times New Roman" w:hAnsi="Times New Roman" w:eastAsia="仿宋" w:cs="Times New Roman"/>
          <w:b w:val="0"/>
          <w:bCs/>
          <w:snapToGrid w:val="0"/>
          <w:kern w:val="0"/>
          <w:sz w:val="24"/>
          <w:szCs w:val="24"/>
          <w:highlight w:val="none"/>
          <w:lang w:val="en-US" w:eastAsia="zh-CN"/>
        </w:rPr>
        <w:t>元，在合同履约期间，不含税合同额不变，如果因国家政策等变化引起的税率变动，按调整后的增值税率调整合同总额。</w:t>
      </w:r>
    </w:p>
    <w:p w14:paraId="7EE38D8E">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kern w:val="0"/>
          <w:sz w:val="24"/>
          <w:szCs w:val="24"/>
          <w:highlight w:val="none"/>
        </w:rPr>
      </w:pPr>
      <w:r>
        <w:rPr>
          <w:rFonts w:hint="default" w:ascii="Times New Roman" w:hAnsi="Times New Roman" w:eastAsia="仿宋" w:cs="Times New Roman"/>
          <w:b w:val="0"/>
          <w:bCs/>
          <w:snapToGrid w:val="0"/>
          <w:color w:val="auto"/>
          <w:kern w:val="0"/>
          <w:sz w:val="24"/>
          <w:szCs w:val="24"/>
          <w:highlight w:val="none"/>
          <w:lang w:val="en-US" w:eastAsia="zh-CN"/>
        </w:rPr>
        <w:t xml:space="preserve">7.3 </w:t>
      </w:r>
      <w:r>
        <w:rPr>
          <w:rFonts w:hint="default" w:ascii="Times New Roman" w:hAnsi="Times New Roman" w:eastAsia="仿宋" w:cs="Times New Roman"/>
          <w:b w:val="0"/>
          <w:bCs/>
          <w:snapToGrid w:val="0"/>
          <w:color w:val="auto"/>
          <w:sz w:val="24"/>
          <w:szCs w:val="24"/>
          <w:highlight w:val="none"/>
        </w:rPr>
        <w:t>本合</w:t>
      </w:r>
      <w:r>
        <w:rPr>
          <w:rFonts w:hint="default" w:ascii="Times New Roman" w:hAnsi="Times New Roman" w:eastAsia="仿宋" w:cs="Times New Roman"/>
          <w:b w:val="0"/>
          <w:bCs/>
          <w:snapToGrid w:val="0"/>
          <w:sz w:val="24"/>
          <w:szCs w:val="24"/>
          <w:highlight w:val="none"/>
        </w:rPr>
        <w:t>同价款包括且不限于完成本专业工作所需的人工、机械设备使用费、安全生产、资料收集、外业、内业、外部协调、审查费、会务费、税费等全部费用。</w:t>
      </w:r>
    </w:p>
    <w:p w14:paraId="131C3D47">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color w:val="auto"/>
          <w:sz w:val="24"/>
          <w:szCs w:val="24"/>
          <w:highlight w:val="none"/>
        </w:rPr>
      </w:pPr>
      <w:r>
        <w:rPr>
          <w:rFonts w:hint="default" w:ascii="Times New Roman" w:hAnsi="Times New Roman" w:eastAsia="仿宋" w:cs="Times New Roman"/>
          <w:b w:val="0"/>
          <w:bCs/>
          <w:snapToGrid w:val="0"/>
          <w:color w:val="auto"/>
          <w:sz w:val="24"/>
          <w:szCs w:val="24"/>
          <w:highlight w:val="none"/>
        </w:rPr>
        <w:t>7.</w:t>
      </w:r>
      <w:r>
        <w:rPr>
          <w:rFonts w:hint="default" w:ascii="Times New Roman" w:hAnsi="Times New Roman" w:eastAsia="仿宋" w:cs="Times New Roman"/>
          <w:b w:val="0"/>
          <w:bCs/>
          <w:snapToGrid w:val="0"/>
          <w:color w:val="auto"/>
          <w:sz w:val="24"/>
          <w:szCs w:val="24"/>
          <w:highlight w:val="none"/>
          <w:lang w:val="en-US" w:eastAsia="zh-CN"/>
        </w:rPr>
        <w:t>4</w:t>
      </w:r>
      <w:r>
        <w:rPr>
          <w:rFonts w:hint="default" w:ascii="Times New Roman" w:hAnsi="Times New Roman" w:eastAsia="仿宋" w:cs="Times New Roman"/>
          <w:b w:val="0"/>
          <w:bCs/>
          <w:snapToGrid w:val="0"/>
          <w:color w:val="auto"/>
          <w:sz w:val="24"/>
          <w:szCs w:val="24"/>
          <w:highlight w:val="none"/>
        </w:rPr>
        <w:t xml:space="preserve"> 在取得批复前，</w:t>
      </w:r>
      <w:r>
        <w:rPr>
          <w:rFonts w:hint="default" w:ascii="Times New Roman" w:hAnsi="Times New Roman" w:eastAsia="仿宋" w:cs="Times New Roman"/>
          <w:b w:val="0"/>
          <w:bCs/>
          <w:snapToGrid w:val="0"/>
          <w:color w:val="auto"/>
          <w:sz w:val="24"/>
          <w:szCs w:val="24"/>
          <w:highlight w:val="none"/>
          <w:lang w:val="en-US" w:eastAsia="zh-CN"/>
        </w:rPr>
        <w:t>因项目路线调整、项目拆分或合并等原因导致的工作量增加</w:t>
      </w:r>
      <w:r>
        <w:rPr>
          <w:rFonts w:hint="default" w:ascii="Times New Roman" w:hAnsi="Times New Roman" w:eastAsia="仿宋" w:cs="Times New Roman"/>
          <w:b w:val="0"/>
          <w:bCs/>
          <w:snapToGrid w:val="0"/>
          <w:color w:val="auto"/>
          <w:sz w:val="24"/>
          <w:szCs w:val="24"/>
          <w:highlight w:val="none"/>
        </w:rPr>
        <w:t>，合同经费不调整。</w:t>
      </w:r>
    </w:p>
    <w:p w14:paraId="3C4455F5">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snapToGrid w:val="0"/>
          <w:color w:val="auto"/>
          <w:kern w:val="0"/>
          <w:sz w:val="24"/>
          <w:highlight w:val="none"/>
        </w:rPr>
      </w:pPr>
      <w:r>
        <w:rPr>
          <w:rFonts w:hint="default" w:ascii="Times New Roman" w:hAnsi="Times New Roman" w:eastAsia="仿宋" w:cs="Times New Roman"/>
          <w:b w:val="0"/>
          <w:bCs/>
          <w:snapToGrid w:val="0"/>
          <w:color w:val="auto"/>
          <w:sz w:val="24"/>
          <w:szCs w:val="24"/>
          <w:highlight w:val="none"/>
        </w:rPr>
        <w:t>7.</w:t>
      </w:r>
      <w:r>
        <w:rPr>
          <w:rFonts w:hint="default" w:ascii="Times New Roman" w:hAnsi="Times New Roman" w:eastAsia="仿宋" w:cs="Times New Roman"/>
          <w:b w:val="0"/>
          <w:bCs/>
          <w:snapToGrid w:val="0"/>
          <w:color w:val="auto"/>
          <w:sz w:val="24"/>
          <w:szCs w:val="24"/>
          <w:highlight w:val="none"/>
          <w:lang w:val="en-US" w:eastAsia="zh-CN"/>
        </w:rPr>
        <w:t>5</w:t>
      </w:r>
      <w:r>
        <w:rPr>
          <w:rFonts w:hint="default" w:ascii="Times New Roman" w:hAnsi="Times New Roman" w:eastAsia="仿宋" w:cs="Times New Roman"/>
          <w:b w:val="0"/>
          <w:bCs/>
          <w:snapToGrid w:val="0"/>
          <w:color w:val="auto"/>
          <w:sz w:val="24"/>
          <w:szCs w:val="24"/>
          <w:highlight w:val="none"/>
        </w:rPr>
        <w:t xml:space="preserve"> 在取得批复后，因项目路线调整、项目拆分或合并</w:t>
      </w:r>
      <w:r>
        <w:rPr>
          <w:rFonts w:hint="default" w:ascii="Times New Roman" w:hAnsi="Times New Roman" w:eastAsia="仿宋" w:cs="Times New Roman"/>
          <w:b w:val="0"/>
          <w:bCs/>
          <w:snapToGrid w:val="0"/>
          <w:color w:val="auto"/>
          <w:sz w:val="24"/>
          <w:szCs w:val="24"/>
          <w:highlight w:val="none"/>
          <w:lang w:val="en-US" w:eastAsia="zh-CN"/>
        </w:rPr>
        <w:t>等</w:t>
      </w:r>
      <w:r>
        <w:rPr>
          <w:rFonts w:hint="default" w:ascii="Times New Roman" w:hAnsi="Times New Roman" w:eastAsia="仿宋" w:cs="Times New Roman"/>
          <w:b w:val="0"/>
          <w:bCs/>
          <w:snapToGrid w:val="0"/>
          <w:color w:val="auto"/>
          <w:sz w:val="24"/>
          <w:szCs w:val="24"/>
          <w:highlight w:val="none"/>
        </w:rPr>
        <w:t>原因导致的工作量变化，由双方友好协商，签订补充协议。</w:t>
      </w:r>
    </w:p>
    <w:p w14:paraId="1602CD3D">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highlight w:val="none"/>
        </w:rPr>
      </w:pPr>
      <w:r>
        <w:rPr>
          <w:rFonts w:hint="default" w:ascii="Times New Roman" w:hAnsi="Times New Roman" w:eastAsia="仿宋_GB2312" w:cs="Times New Roman"/>
          <w:b/>
          <w:snapToGrid w:val="0"/>
          <w:color w:val="auto"/>
          <w:kern w:val="0"/>
          <w:sz w:val="24"/>
          <w:highlight w:val="none"/>
        </w:rPr>
        <w:t>第八条 履约担保</w:t>
      </w:r>
    </w:p>
    <w:p w14:paraId="64D22146">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sz w:val="24"/>
          <w:szCs w:val="24"/>
          <w:highlight w:val="none"/>
        </w:rPr>
      </w:pPr>
      <w:r>
        <w:rPr>
          <w:rFonts w:hint="default" w:ascii="Times New Roman" w:hAnsi="Times New Roman" w:eastAsia="仿宋" w:cs="Times New Roman"/>
          <w:b w:val="0"/>
          <w:bCs/>
          <w:snapToGrid w:val="0"/>
          <w:sz w:val="24"/>
          <w:szCs w:val="24"/>
          <w:highlight w:val="none"/>
        </w:rPr>
        <w:t>8.1 本协议</w:t>
      </w:r>
      <w:r>
        <w:rPr>
          <w:rFonts w:hint="eastAsia" w:ascii="仿宋" w:hAnsi="仿宋" w:eastAsia="仿宋" w:cs="仿宋"/>
          <w:b w:val="0"/>
          <w:bCs/>
          <w:snapToGrid w:val="0"/>
          <w:kern w:val="0"/>
          <w:sz w:val="24"/>
          <w:szCs w:val="24"/>
          <w:highlight w:val="none"/>
          <w:u w:val="single"/>
          <w:lang w:val="en-US" w:eastAsia="zh-CN"/>
        </w:rPr>
        <w:t>☑</w:t>
      </w:r>
      <w:r>
        <w:rPr>
          <w:rFonts w:hint="default" w:ascii="Times New Roman" w:hAnsi="Times New Roman" w:eastAsia="仿宋" w:cs="Times New Roman"/>
          <w:b w:val="0"/>
          <w:bCs/>
          <w:snapToGrid w:val="0"/>
          <w:sz w:val="24"/>
          <w:szCs w:val="24"/>
          <w:highlight w:val="none"/>
          <w:u w:val="single"/>
        </w:rPr>
        <w:t>有</w:t>
      </w:r>
      <w:r>
        <w:rPr>
          <w:rFonts w:hint="default" w:ascii="Times New Roman" w:hAnsi="Times New Roman" w:eastAsia="仿宋" w:cs="Times New Roman"/>
          <w:b w:val="0"/>
          <w:bCs/>
          <w:snapToGrid w:val="0"/>
          <w:sz w:val="24"/>
          <w:szCs w:val="24"/>
          <w:highlight w:val="none"/>
          <w:u w:val="single"/>
          <w:lang w:eastAsia="zh-CN"/>
        </w:rPr>
        <w:t>、</w:t>
      </w:r>
      <w:r>
        <w:rPr>
          <w:rFonts w:hint="default" w:ascii="Times New Roman" w:hAnsi="Times New Roman" w:eastAsia="仿宋" w:cs="Times New Roman"/>
          <w:b w:val="0"/>
          <w:bCs/>
          <w:snapToGrid w:val="0"/>
          <w:kern w:val="0"/>
          <w:sz w:val="24"/>
          <w:szCs w:val="24"/>
          <w:highlight w:val="none"/>
          <w:u w:val="single"/>
        </w:rPr>
        <w:sym w:font="Wingdings 2" w:char="00A3"/>
      </w:r>
      <w:r>
        <w:rPr>
          <w:rFonts w:hint="default" w:ascii="Times New Roman" w:hAnsi="Times New Roman" w:eastAsia="仿宋" w:cs="Times New Roman"/>
          <w:b w:val="0"/>
          <w:bCs/>
          <w:snapToGrid w:val="0"/>
          <w:sz w:val="24"/>
          <w:szCs w:val="24"/>
          <w:highlight w:val="none"/>
          <w:u w:val="single"/>
        </w:rPr>
        <w:t>无</w:t>
      </w:r>
      <w:r>
        <w:rPr>
          <w:rFonts w:hint="default" w:ascii="Times New Roman" w:hAnsi="Times New Roman" w:eastAsia="仿宋" w:cs="Times New Roman"/>
          <w:b w:val="0"/>
          <w:bCs/>
          <w:snapToGrid w:val="0"/>
          <w:sz w:val="24"/>
          <w:szCs w:val="24"/>
          <w:highlight w:val="none"/>
        </w:rPr>
        <w:t>履约担保。</w:t>
      </w:r>
    </w:p>
    <w:p w14:paraId="1D48F85E">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color w:val="auto"/>
          <w:sz w:val="24"/>
          <w:szCs w:val="24"/>
          <w:highlight w:val="none"/>
        </w:rPr>
      </w:pPr>
      <w:r>
        <w:rPr>
          <w:rFonts w:hint="default" w:ascii="Times New Roman" w:hAnsi="Times New Roman" w:eastAsia="仿宋" w:cs="Times New Roman"/>
          <w:b w:val="0"/>
          <w:bCs/>
          <w:snapToGrid w:val="0"/>
          <w:color w:val="auto"/>
          <w:sz w:val="24"/>
          <w:szCs w:val="24"/>
          <w:highlight w:val="none"/>
        </w:rPr>
        <w:t>8.2 乙方在收到甲方中标文件</w:t>
      </w:r>
      <w:r>
        <w:rPr>
          <w:rFonts w:hint="default" w:ascii="Times New Roman" w:hAnsi="Times New Roman" w:eastAsia="仿宋" w:cs="Times New Roman"/>
          <w:b w:val="0"/>
          <w:bCs/>
          <w:snapToGrid w:val="0"/>
          <w:color w:val="auto"/>
          <w:sz w:val="24"/>
          <w:szCs w:val="24"/>
          <w:highlight w:val="none"/>
          <w:u w:val="single"/>
        </w:rPr>
        <w:t>10</w:t>
      </w:r>
      <w:r>
        <w:rPr>
          <w:rFonts w:hint="default" w:ascii="Times New Roman" w:hAnsi="Times New Roman" w:eastAsia="仿宋" w:cs="Times New Roman"/>
          <w:b w:val="0"/>
          <w:bCs/>
          <w:snapToGrid w:val="0"/>
          <w:color w:val="auto"/>
          <w:sz w:val="24"/>
          <w:szCs w:val="24"/>
          <w:highlight w:val="none"/>
        </w:rPr>
        <w:t>天内，应向甲方提交履约担保，履约担保形式为</w:t>
      </w:r>
      <w:r>
        <w:rPr>
          <w:rFonts w:hint="default" w:ascii="Times New Roman" w:hAnsi="Times New Roman" w:eastAsia="仿宋" w:cs="Times New Roman"/>
          <w:b w:val="0"/>
          <w:bCs/>
          <w:snapToGrid w:val="0"/>
          <w:color w:val="auto"/>
          <w:sz w:val="24"/>
          <w:szCs w:val="24"/>
          <w:highlight w:val="none"/>
          <w:u w:val="single"/>
        </w:rPr>
        <w:t>履约保证金</w:t>
      </w:r>
      <w:r>
        <w:rPr>
          <w:rFonts w:hint="default" w:ascii="Times New Roman" w:hAnsi="Times New Roman" w:eastAsia="仿宋" w:cs="Times New Roman"/>
          <w:b w:val="0"/>
          <w:bCs/>
          <w:snapToGrid w:val="0"/>
          <w:color w:val="auto"/>
          <w:sz w:val="24"/>
          <w:szCs w:val="24"/>
          <w:highlight w:val="none"/>
        </w:rPr>
        <w:t>，即：暂计协议总价的</w:t>
      </w:r>
      <w:r>
        <w:rPr>
          <w:rFonts w:hint="default" w:ascii="Times New Roman" w:hAnsi="Times New Roman" w:eastAsia="仿宋" w:cs="Times New Roman"/>
          <w:b w:val="0"/>
          <w:bCs/>
          <w:snapToGrid w:val="0"/>
          <w:color w:val="auto"/>
          <w:sz w:val="24"/>
          <w:szCs w:val="24"/>
          <w:highlight w:val="none"/>
          <w:u w:val="single"/>
        </w:rPr>
        <w:t>5</w:t>
      </w:r>
      <w:r>
        <w:rPr>
          <w:rFonts w:hint="default" w:ascii="Times New Roman" w:hAnsi="Times New Roman" w:eastAsia="仿宋" w:cs="Times New Roman"/>
          <w:b w:val="0"/>
          <w:bCs/>
          <w:snapToGrid w:val="0"/>
          <w:color w:val="auto"/>
          <w:sz w:val="24"/>
          <w:szCs w:val="24"/>
          <w:highlight w:val="none"/>
        </w:rPr>
        <w:t>％</w:t>
      </w:r>
      <w:r>
        <w:rPr>
          <w:rFonts w:hint="default" w:ascii="Times New Roman" w:hAnsi="Times New Roman" w:eastAsia="仿宋" w:cs="Times New Roman"/>
          <w:b w:val="0"/>
          <w:bCs/>
          <w:snapToGrid w:val="0"/>
          <w:color w:val="auto"/>
          <w:sz w:val="24"/>
          <w:szCs w:val="24"/>
          <w:highlight w:val="none"/>
          <w:u w:val="single"/>
        </w:rPr>
        <w:t>履约保证金</w:t>
      </w:r>
      <w:r>
        <w:rPr>
          <w:rFonts w:hint="default" w:ascii="Times New Roman" w:hAnsi="Times New Roman" w:eastAsia="仿宋" w:cs="Times New Roman"/>
          <w:b w:val="0"/>
          <w:bCs/>
          <w:snapToGrid w:val="0"/>
          <w:color w:val="auto"/>
          <w:sz w:val="24"/>
          <w:szCs w:val="24"/>
          <w:highlight w:val="none"/>
        </w:rPr>
        <w:t>，计</w:t>
      </w:r>
      <w:r>
        <w:rPr>
          <w:rFonts w:hint="eastAsia" w:ascii="Times New Roman" w:hAnsi="Times New Roman" w:eastAsia="仿宋" w:cs="Times New Roman"/>
          <w:b w:val="0"/>
          <w:bCs/>
          <w:snapToGrid w:val="0"/>
          <w:color w:val="auto"/>
          <w:sz w:val="24"/>
          <w:szCs w:val="24"/>
          <w:highlight w:val="none"/>
          <w:u w:val="single"/>
          <w:lang w:val="en-US" w:eastAsia="zh-CN"/>
        </w:rPr>
        <w:t xml:space="preserve">     </w:t>
      </w:r>
      <w:r>
        <w:rPr>
          <w:rFonts w:hint="default" w:ascii="Times New Roman" w:hAnsi="Times New Roman" w:eastAsia="仿宋" w:cs="Times New Roman"/>
          <w:b w:val="0"/>
          <w:bCs/>
          <w:snapToGrid w:val="0"/>
          <w:color w:val="auto"/>
          <w:sz w:val="24"/>
          <w:szCs w:val="24"/>
          <w:highlight w:val="none"/>
        </w:rPr>
        <w:t>元。</w:t>
      </w:r>
    </w:p>
    <w:p w14:paraId="3B8BA3E4">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color w:val="auto"/>
          <w:sz w:val="24"/>
          <w:szCs w:val="24"/>
          <w:highlight w:val="none"/>
        </w:rPr>
      </w:pPr>
      <w:r>
        <w:rPr>
          <w:rFonts w:hint="default" w:ascii="Times New Roman" w:hAnsi="Times New Roman" w:eastAsia="仿宋" w:cs="Times New Roman"/>
          <w:b w:val="0"/>
          <w:bCs/>
          <w:snapToGrid w:val="0"/>
          <w:color w:val="auto"/>
          <w:sz w:val="24"/>
          <w:szCs w:val="24"/>
          <w:highlight w:val="none"/>
        </w:rPr>
        <w:t>8.3</w:t>
      </w:r>
      <w:r>
        <w:rPr>
          <w:rFonts w:hint="default" w:ascii="Times New Roman" w:hAnsi="Times New Roman" w:eastAsia="仿宋" w:cs="Times New Roman"/>
          <w:b w:val="0"/>
          <w:bCs/>
          <w:snapToGrid w:val="0"/>
          <w:color w:val="auto"/>
          <w:sz w:val="24"/>
          <w:szCs w:val="24"/>
          <w:highlight w:val="none"/>
          <w:lang w:val="en-US" w:eastAsia="zh-CN"/>
        </w:rPr>
        <w:t xml:space="preserve"> </w:t>
      </w:r>
      <w:r>
        <w:rPr>
          <w:rFonts w:hint="default" w:ascii="Times New Roman" w:hAnsi="Times New Roman" w:eastAsia="仿宋" w:cs="Times New Roman"/>
          <w:b w:val="0"/>
          <w:bCs/>
          <w:snapToGrid w:val="0"/>
          <w:color w:val="auto"/>
          <w:sz w:val="24"/>
          <w:szCs w:val="24"/>
          <w:highlight w:val="none"/>
        </w:rPr>
        <w:t>履约保证金在履行完</w:t>
      </w:r>
      <w:r>
        <w:rPr>
          <w:rFonts w:hint="default" w:ascii="Times New Roman" w:hAnsi="Times New Roman" w:eastAsia="仿宋" w:cs="Times New Roman"/>
          <w:b w:val="0"/>
          <w:bCs/>
          <w:snapToGrid w:val="0"/>
          <w:sz w:val="24"/>
          <w:szCs w:val="24"/>
          <w:highlight w:val="none"/>
        </w:rPr>
        <w:t>全部协议规定的内容及义务</w:t>
      </w:r>
      <w:r>
        <w:rPr>
          <w:rFonts w:hint="default" w:ascii="Times New Roman" w:hAnsi="Times New Roman" w:eastAsia="仿宋" w:cs="Times New Roman"/>
          <w:b w:val="0"/>
          <w:bCs/>
          <w:snapToGrid w:val="0"/>
          <w:color w:val="auto"/>
          <w:sz w:val="24"/>
          <w:szCs w:val="24"/>
          <w:highlight w:val="none"/>
        </w:rPr>
        <w:t>并经验收合格后30日内无息返还。</w:t>
      </w:r>
    </w:p>
    <w:p w14:paraId="4688D303">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sz w:val="24"/>
          <w:szCs w:val="24"/>
          <w:highlight w:val="none"/>
        </w:rPr>
      </w:pPr>
      <w:r>
        <w:rPr>
          <w:rFonts w:hint="default" w:ascii="Times New Roman" w:hAnsi="Times New Roman" w:eastAsia="仿宋" w:cs="Times New Roman"/>
          <w:b w:val="0"/>
          <w:bCs/>
          <w:snapToGrid w:val="0"/>
          <w:sz w:val="24"/>
          <w:szCs w:val="24"/>
          <w:highlight w:val="none"/>
        </w:rPr>
        <w:t>8.4 如乙方不能按期履行本协议约定义务，甲方将视情况动用履约担保，以确保协议目标的达成，并不免除乙方的协议违约责任。</w:t>
      </w:r>
    </w:p>
    <w:p w14:paraId="37C67DC4">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highlight w:val="none"/>
        </w:rPr>
      </w:pPr>
      <w:r>
        <w:rPr>
          <w:rFonts w:hint="default" w:ascii="Times New Roman" w:hAnsi="Times New Roman" w:eastAsia="仿宋_GB2312" w:cs="Times New Roman"/>
          <w:b/>
          <w:snapToGrid w:val="0"/>
          <w:color w:val="auto"/>
          <w:kern w:val="0"/>
          <w:sz w:val="24"/>
          <w:highlight w:val="none"/>
        </w:rPr>
        <w:t>第八条 履约担保（提交保函）</w:t>
      </w:r>
    </w:p>
    <w:p w14:paraId="1C466ACE">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sz w:val="24"/>
          <w:szCs w:val="24"/>
          <w:highlight w:val="none"/>
        </w:rPr>
      </w:pPr>
      <w:r>
        <w:rPr>
          <w:rFonts w:hint="default" w:ascii="Times New Roman" w:hAnsi="Times New Roman" w:eastAsia="仿宋" w:cs="Times New Roman"/>
          <w:b w:val="0"/>
          <w:bCs/>
          <w:snapToGrid w:val="0"/>
          <w:sz w:val="24"/>
          <w:szCs w:val="24"/>
          <w:highlight w:val="none"/>
        </w:rPr>
        <w:t xml:space="preserve">8.1 本协议 </w:t>
      </w:r>
      <w:r>
        <w:rPr>
          <w:rFonts w:hint="default" w:ascii="Times New Roman" w:hAnsi="Times New Roman" w:eastAsia="仿宋" w:cs="Times New Roman"/>
          <w:b w:val="0"/>
          <w:bCs/>
          <w:snapToGrid w:val="0"/>
          <w:kern w:val="0"/>
          <w:sz w:val="24"/>
          <w:szCs w:val="24"/>
          <w:highlight w:val="none"/>
          <w:u w:val="single"/>
        </w:rPr>
        <w:sym w:font="Wingdings 2" w:char="00A3"/>
      </w:r>
      <w:r>
        <w:rPr>
          <w:rFonts w:hint="default" w:ascii="Times New Roman" w:hAnsi="Times New Roman" w:eastAsia="仿宋" w:cs="Times New Roman"/>
          <w:b w:val="0"/>
          <w:bCs/>
          <w:snapToGrid w:val="0"/>
          <w:sz w:val="24"/>
          <w:szCs w:val="24"/>
          <w:highlight w:val="none"/>
          <w:u w:val="single"/>
        </w:rPr>
        <w:t>有</w:t>
      </w:r>
      <w:r>
        <w:rPr>
          <w:rFonts w:hint="default" w:ascii="Times New Roman" w:hAnsi="Times New Roman" w:eastAsia="仿宋" w:cs="Times New Roman"/>
          <w:b w:val="0"/>
          <w:bCs/>
          <w:snapToGrid w:val="0"/>
          <w:sz w:val="24"/>
          <w:szCs w:val="24"/>
          <w:highlight w:val="none"/>
          <w:u w:val="single"/>
          <w:lang w:eastAsia="zh-CN"/>
        </w:rPr>
        <w:t>、</w:t>
      </w:r>
      <w:r>
        <w:rPr>
          <w:rFonts w:hint="default" w:ascii="Times New Roman" w:hAnsi="Times New Roman" w:eastAsia="仿宋" w:cs="Times New Roman"/>
          <w:b w:val="0"/>
          <w:bCs/>
          <w:snapToGrid w:val="0"/>
          <w:kern w:val="0"/>
          <w:sz w:val="24"/>
          <w:szCs w:val="24"/>
          <w:highlight w:val="none"/>
          <w:u w:val="single"/>
        </w:rPr>
        <w:sym w:font="Wingdings 2" w:char="00A3"/>
      </w:r>
      <w:r>
        <w:rPr>
          <w:rFonts w:hint="default" w:ascii="Times New Roman" w:hAnsi="Times New Roman" w:eastAsia="仿宋" w:cs="Times New Roman"/>
          <w:b w:val="0"/>
          <w:bCs/>
          <w:snapToGrid w:val="0"/>
          <w:sz w:val="24"/>
          <w:szCs w:val="24"/>
          <w:highlight w:val="none"/>
          <w:u w:val="single"/>
        </w:rPr>
        <w:t>无</w:t>
      </w:r>
      <w:r>
        <w:rPr>
          <w:rFonts w:hint="default" w:ascii="Times New Roman" w:hAnsi="Times New Roman" w:eastAsia="仿宋" w:cs="Times New Roman"/>
          <w:b w:val="0"/>
          <w:bCs/>
          <w:snapToGrid w:val="0"/>
          <w:sz w:val="24"/>
          <w:szCs w:val="24"/>
          <w:highlight w:val="none"/>
        </w:rPr>
        <w:t xml:space="preserve"> 履约担保。</w:t>
      </w:r>
    </w:p>
    <w:p w14:paraId="4FCA286E">
      <w:pPr>
        <w:keepNext w:val="0"/>
        <w:keepLines w:val="0"/>
        <w:pageBreakBefore w:val="0"/>
        <w:widowControl w:val="0"/>
        <w:kinsoku/>
        <w:wordWrap/>
        <w:overflowPunct w:val="0"/>
        <w:topLinePunct/>
        <w:autoSpaceDE w:val="0"/>
        <w:autoSpaceDN w:val="0"/>
        <w:bidi w:val="0"/>
        <w:adjustRightInd/>
        <w:snapToGrid w:val="0"/>
        <w:spacing w:line="540" w:lineRule="exact"/>
        <w:ind w:firstLine="480" w:firstLineChars="200"/>
        <w:jc w:val="both"/>
        <w:textAlignment w:val="auto"/>
        <w:rPr>
          <w:rFonts w:hint="default" w:ascii="Times New Roman" w:hAnsi="Times New Roman" w:eastAsia="仿宋" w:cs="Times New Roman"/>
          <w:b w:val="0"/>
          <w:bCs/>
          <w:snapToGrid w:val="0"/>
          <w:sz w:val="24"/>
          <w:szCs w:val="24"/>
          <w:highlight w:val="none"/>
        </w:rPr>
      </w:pPr>
      <w:r>
        <w:rPr>
          <w:rFonts w:hint="default" w:ascii="Times New Roman" w:hAnsi="Times New Roman" w:eastAsia="仿宋" w:cs="Times New Roman"/>
          <w:b w:val="0"/>
          <w:bCs/>
          <w:snapToGrid w:val="0"/>
          <w:color w:val="auto"/>
          <w:sz w:val="24"/>
          <w:szCs w:val="24"/>
          <w:highlight w:val="none"/>
        </w:rPr>
        <w:t>8.2 乙方在收到甲方中标文件10天内，应向甲方提交履约担保，履约担保形式为</w:t>
      </w:r>
      <w:r>
        <w:rPr>
          <w:rFonts w:hint="default" w:ascii="Times New Roman" w:hAnsi="Times New Roman" w:eastAsia="仿宋" w:cs="Times New Roman"/>
          <w:b w:val="0"/>
          <w:bCs/>
          <w:snapToGrid w:val="0"/>
          <w:color w:val="auto"/>
          <w:sz w:val="24"/>
          <w:szCs w:val="24"/>
          <w:highlight w:val="none"/>
          <w:u w:val="single"/>
        </w:rPr>
        <w:t>履约保函</w:t>
      </w:r>
      <w:r>
        <w:rPr>
          <w:rFonts w:hint="default" w:ascii="Times New Roman" w:hAnsi="Times New Roman" w:eastAsia="仿宋" w:cs="Times New Roman"/>
          <w:b w:val="0"/>
          <w:bCs/>
          <w:snapToGrid w:val="0"/>
          <w:color w:val="auto"/>
          <w:sz w:val="24"/>
          <w:szCs w:val="24"/>
          <w:highlight w:val="none"/>
        </w:rPr>
        <w:t>，即：暂计协议总价的5％履约保函，计XX元。</w:t>
      </w:r>
      <w:r>
        <w:rPr>
          <w:rFonts w:hint="default" w:ascii="Times New Roman" w:hAnsi="Times New Roman" w:eastAsia="仿宋" w:cs="Times New Roman"/>
          <w:b w:val="0"/>
          <w:bCs/>
          <w:snapToGrid w:val="0"/>
          <w:color w:val="auto"/>
          <w:sz w:val="24"/>
          <w:szCs w:val="24"/>
          <w:highlight w:val="none"/>
        </w:rPr>
        <w:br w:type="textWrapping"/>
      </w:r>
      <w:r>
        <w:rPr>
          <w:rFonts w:hint="default" w:ascii="Times New Roman" w:hAnsi="Times New Roman" w:eastAsia="仿宋" w:cs="Times New Roman"/>
          <w:b w:val="0"/>
          <w:bCs/>
          <w:snapToGrid w:val="0"/>
          <w:sz w:val="24"/>
          <w:szCs w:val="24"/>
          <w:highlight w:val="none"/>
        </w:rPr>
        <w:t xml:space="preserve">   </w:t>
      </w:r>
      <w:r>
        <w:rPr>
          <w:rFonts w:hint="default" w:ascii="Times New Roman" w:hAnsi="Times New Roman" w:eastAsia="仿宋" w:cs="Times New Roman"/>
          <w:b w:val="0"/>
          <w:bCs/>
          <w:snapToGrid w:val="0"/>
          <w:sz w:val="24"/>
          <w:szCs w:val="24"/>
          <w:highlight w:val="none"/>
          <w:lang w:val="en-US" w:eastAsia="zh-CN"/>
        </w:rPr>
        <w:t xml:space="preserve"> </w:t>
      </w:r>
      <w:r>
        <w:rPr>
          <w:rFonts w:hint="default" w:ascii="Times New Roman" w:hAnsi="Times New Roman" w:eastAsia="仿宋" w:cs="Times New Roman"/>
          <w:b w:val="0"/>
          <w:bCs/>
          <w:snapToGrid w:val="0"/>
          <w:sz w:val="24"/>
          <w:szCs w:val="24"/>
          <w:highlight w:val="none"/>
        </w:rPr>
        <w:t>8.3 在乙方履行完全部协议规定的内容及义务并经验收合格后30日内，甲方退还履约保函。乙方承诺在履约保函失效日之前向甲方出具后续阶段履约保函，直至乙方完成合同约定全部工作内容止。</w:t>
      </w:r>
    </w:p>
    <w:p w14:paraId="0919999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eastAsia" w:ascii="Times New Roman" w:hAnsi="Times New Roman" w:eastAsia="仿宋" w:cs="Times New Roman"/>
          <w:snapToGrid w:val="0"/>
          <w:color w:val="auto"/>
          <w:sz w:val="24"/>
          <w:szCs w:val="24"/>
          <w:highlight w:val="yellow"/>
          <w:lang w:eastAsia="zh-CN"/>
        </w:rPr>
      </w:pPr>
      <w:r>
        <w:rPr>
          <w:rFonts w:hint="default" w:ascii="Times New Roman" w:hAnsi="Times New Roman" w:eastAsia="仿宋" w:cs="Times New Roman"/>
          <w:b w:val="0"/>
          <w:bCs/>
          <w:snapToGrid w:val="0"/>
          <w:sz w:val="24"/>
          <w:szCs w:val="24"/>
          <w:highlight w:val="none"/>
        </w:rPr>
        <w:t>8.4 如乙方不能按期履行本协议约定义务，甲方将视情况动用履约担保，以确保协议目标的达成，并不免除乙方的协议违约责任</w:t>
      </w:r>
      <w:r>
        <w:rPr>
          <w:rFonts w:hint="eastAsia" w:ascii="Times New Roman" w:hAnsi="Times New Roman" w:eastAsia="仿宋" w:cs="Times New Roman"/>
          <w:b w:val="0"/>
          <w:bCs/>
          <w:snapToGrid w:val="0"/>
          <w:sz w:val="24"/>
          <w:szCs w:val="24"/>
          <w:highlight w:val="none"/>
          <w:lang w:eastAsia="zh-CN"/>
        </w:rPr>
        <w:t>。</w:t>
      </w:r>
    </w:p>
    <w:p w14:paraId="084DEDB4">
      <w:pPr>
        <w:pStyle w:val="2"/>
        <w:rPr>
          <w:rFonts w:hint="default"/>
        </w:rPr>
      </w:pPr>
    </w:p>
    <w:p w14:paraId="41CD853F">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第九条 支付方式</w:t>
      </w:r>
    </w:p>
    <w:p w14:paraId="5B27718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9.1乙方</w:t>
      </w:r>
      <w:r>
        <w:rPr>
          <w:rFonts w:hint="default" w:ascii="Times New Roman" w:hAnsi="Times New Roman" w:eastAsia="仿宋" w:cs="Times New Roman"/>
          <w:snapToGrid w:val="0"/>
          <w:color w:val="auto"/>
          <w:sz w:val="24"/>
          <w:lang w:eastAsia="zh-CN"/>
        </w:rPr>
        <w:t>提交</w:t>
      </w:r>
      <w:r>
        <w:rPr>
          <w:rFonts w:hint="eastAsia" w:ascii="Times New Roman" w:hAnsi="Times New Roman" w:eastAsia="仿宋" w:cs="Times New Roman"/>
          <w:snapToGrid w:val="0"/>
          <w:color w:val="auto"/>
          <w:sz w:val="24"/>
          <w:lang w:val="en-US" w:eastAsia="zh-CN"/>
        </w:rPr>
        <w:t>生态专章成果文件初稿</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lang w:val="en-US" w:eastAsia="zh-CN"/>
        </w:rPr>
        <w:t>经甲方验收合格</w:t>
      </w:r>
      <w:r>
        <w:rPr>
          <w:rFonts w:hint="default" w:ascii="Times New Roman" w:hAnsi="Times New Roman" w:eastAsia="仿宋" w:cs="Times New Roman"/>
          <w:snapToGrid w:val="0"/>
          <w:color w:val="auto"/>
          <w:sz w:val="24"/>
          <w:lang w:eastAsia="zh-CN"/>
        </w:rPr>
        <w:t>后</w:t>
      </w:r>
      <w:r>
        <w:rPr>
          <w:rFonts w:hint="default" w:ascii="Times New Roman" w:hAnsi="Times New Roman" w:eastAsia="仿宋" w:cs="Times New Roman"/>
          <w:snapToGrid w:val="0"/>
          <w:color w:val="auto"/>
          <w:sz w:val="24"/>
          <w:lang w:val="en-US" w:eastAsia="zh-CN"/>
        </w:rPr>
        <w:t>15个工作日内</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rPr>
        <w:t>甲方支付乙方合同价的</w:t>
      </w:r>
      <w:r>
        <w:rPr>
          <w:rFonts w:hint="eastAsia" w:ascii="Times New Roman" w:hAnsi="Times New Roman" w:eastAsia="仿宋" w:cs="Times New Roman"/>
          <w:snapToGrid w:val="0"/>
          <w:color w:val="auto"/>
          <w:sz w:val="24"/>
          <w:lang w:val="en-US" w:eastAsia="zh-CN"/>
        </w:rPr>
        <w:t>30</w:t>
      </w:r>
      <w:r>
        <w:rPr>
          <w:rFonts w:hint="default" w:ascii="Times New Roman" w:hAnsi="Times New Roman" w:eastAsia="仿宋" w:cs="Times New Roman"/>
          <w:snapToGrid w:val="0"/>
          <w:color w:val="auto"/>
          <w:sz w:val="24"/>
        </w:rPr>
        <w:t>％</w:t>
      </w:r>
      <w:r>
        <w:rPr>
          <w:rFonts w:hint="default" w:ascii="Times New Roman" w:hAnsi="Times New Roman" w:eastAsia="仿宋" w:cs="Times New Roman"/>
          <w:snapToGrid w:val="0"/>
          <w:color w:val="auto"/>
          <w:sz w:val="24"/>
          <w:lang w:eastAsia="zh-CN"/>
        </w:rPr>
        <w:t>，即人民币</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lang w:val="en-US" w:eastAsia="zh-CN"/>
        </w:rPr>
        <w:t>元（</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u w:val="single"/>
          <w:lang w:val="en-US" w:eastAsia="zh-CN"/>
        </w:rPr>
        <w:t>整</w:t>
      </w:r>
      <w:r>
        <w:rPr>
          <w:rFonts w:hint="default" w:ascii="Times New Roman" w:hAnsi="Times New Roman" w:eastAsia="仿宋" w:cs="Times New Roman"/>
          <w:snapToGrid w:val="0"/>
          <w:color w:val="auto"/>
          <w:kern w:val="2"/>
          <w:sz w:val="24"/>
          <w:szCs w:val="24"/>
          <w:lang w:val="en-US" w:eastAsia="zh-CN" w:bidi="ar-SA"/>
        </w:rPr>
        <w:t>）。</w:t>
      </w:r>
    </w:p>
    <w:p w14:paraId="740AC38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9.</w:t>
      </w:r>
      <w:r>
        <w:rPr>
          <w:rFonts w:hint="eastAsia" w:ascii="Times New Roman" w:hAnsi="Times New Roman" w:eastAsia="仿宋" w:cs="Times New Roman"/>
          <w:snapToGrid w:val="0"/>
          <w:color w:val="auto"/>
          <w:sz w:val="24"/>
          <w:lang w:val="en-US" w:eastAsia="zh-CN"/>
        </w:rPr>
        <w:t>2</w:t>
      </w:r>
      <w:r>
        <w:rPr>
          <w:rFonts w:hint="default" w:ascii="Times New Roman" w:hAnsi="Times New Roman" w:eastAsia="仿宋" w:cs="Times New Roman"/>
          <w:snapToGrid w:val="0"/>
          <w:color w:val="auto"/>
          <w:sz w:val="24"/>
        </w:rPr>
        <w:t>乙方</w:t>
      </w:r>
      <w:r>
        <w:rPr>
          <w:rFonts w:hint="default" w:ascii="Times New Roman" w:hAnsi="Times New Roman" w:eastAsia="仿宋" w:cs="Times New Roman"/>
          <w:snapToGrid w:val="0"/>
          <w:color w:val="auto"/>
          <w:sz w:val="24"/>
          <w:lang w:eastAsia="zh-CN"/>
        </w:rPr>
        <w:t>提交</w:t>
      </w:r>
      <w:r>
        <w:rPr>
          <w:rFonts w:hint="eastAsia" w:ascii="Times New Roman" w:hAnsi="Times New Roman" w:eastAsia="仿宋" w:cs="Times New Roman"/>
          <w:snapToGrid w:val="0"/>
          <w:color w:val="auto"/>
          <w:sz w:val="24"/>
          <w:lang w:val="en-US" w:eastAsia="zh-CN"/>
        </w:rPr>
        <w:t>生态专章</w:t>
      </w:r>
      <w:r>
        <w:rPr>
          <w:rFonts w:hint="default" w:ascii="Times New Roman" w:hAnsi="Times New Roman" w:eastAsia="仿宋" w:cs="Times New Roman"/>
          <w:snapToGrid w:val="0"/>
          <w:color w:val="auto"/>
          <w:sz w:val="24"/>
          <w:lang w:eastAsia="zh-CN"/>
        </w:rPr>
        <w:t>正式成果</w:t>
      </w:r>
      <w:r>
        <w:rPr>
          <w:rFonts w:hint="default" w:ascii="Times New Roman" w:hAnsi="Times New Roman" w:eastAsia="仿宋" w:cs="Times New Roman"/>
          <w:snapToGrid w:val="0"/>
          <w:color w:val="auto"/>
          <w:sz w:val="24"/>
          <w:lang w:val="en-US" w:eastAsia="zh-CN"/>
        </w:rPr>
        <w:t>文件</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lang w:val="en-US" w:eastAsia="zh-CN"/>
        </w:rPr>
        <w:t>经甲方验收合格</w:t>
      </w:r>
      <w:r>
        <w:rPr>
          <w:rFonts w:hint="default" w:ascii="Times New Roman" w:hAnsi="Times New Roman" w:eastAsia="仿宋" w:cs="Times New Roman"/>
          <w:snapToGrid w:val="0"/>
          <w:color w:val="auto"/>
          <w:sz w:val="24"/>
          <w:lang w:eastAsia="zh-CN"/>
        </w:rPr>
        <w:t>后</w:t>
      </w:r>
      <w:r>
        <w:rPr>
          <w:rFonts w:hint="default" w:ascii="Times New Roman" w:hAnsi="Times New Roman" w:eastAsia="仿宋" w:cs="Times New Roman"/>
          <w:snapToGrid w:val="0"/>
          <w:color w:val="auto"/>
          <w:sz w:val="24"/>
          <w:lang w:val="en-US" w:eastAsia="zh-CN"/>
        </w:rPr>
        <w:t>15个工作日内</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rPr>
        <w:t>甲方支付乙方合同价的</w:t>
      </w:r>
      <w:r>
        <w:rPr>
          <w:rFonts w:hint="eastAsia" w:ascii="Times New Roman" w:hAnsi="Times New Roman" w:eastAsia="仿宋" w:cs="Times New Roman"/>
          <w:snapToGrid w:val="0"/>
          <w:color w:val="auto"/>
          <w:sz w:val="24"/>
          <w:lang w:val="en-US" w:eastAsia="zh-CN"/>
        </w:rPr>
        <w:t>4</w:t>
      </w:r>
      <w:r>
        <w:rPr>
          <w:rFonts w:hint="default" w:ascii="Times New Roman" w:hAnsi="Times New Roman" w:eastAsia="仿宋" w:cs="Times New Roman"/>
          <w:snapToGrid w:val="0"/>
          <w:color w:val="auto"/>
          <w:sz w:val="24"/>
        </w:rPr>
        <w:t>0％</w:t>
      </w:r>
      <w:r>
        <w:rPr>
          <w:rFonts w:hint="default" w:ascii="Times New Roman" w:hAnsi="Times New Roman" w:eastAsia="仿宋" w:cs="Times New Roman"/>
          <w:snapToGrid w:val="0"/>
          <w:color w:val="auto"/>
          <w:sz w:val="24"/>
          <w:lang w:eastAsia="zh-CN"/>
        </w:rPr>
        <w:t>，即人民币</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lang w:val="en-US" w:eastAsia="zh-CN"/>
        </w:rPr>
        <w:t>元（</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u w:val="single"/>
          <w:lang w:val="en-US" w:eastAsia="zh-CN"/>
        </w:rPr>
        <w:t>整</w:t>
      </w:r>
      <w:r>
        <w:rPr>
          <w:rFonts w:hint="default" w:ascii="Times New Roman" w:hAnsi="Times New Roman" w:eastAsia="仿宋" w:cs="Times New Roman"/>
          <w:snapToGrid w:val="0"/>
          <w:color w:val="auto"/>
          <w:kern w:val="2"/>
          <w:sz w:val="24"/>
          <w:szCs w:val="24"/>
          <w:lang w:val="en-US" w:eastAsia="zh-CN" w:bidi="ar-SA"/>
        </w:rPr>
        <w:t>）。</w:t>
      </w:r>
    </w:p>
    <w:p w14:paraId="7F7974C1">
      <w:pPr>
        <w:pStyle w:val="7"/>
        <w:keepNext w:val="0"/>
        <w:keepLines w:val="0"/>
        <w:pageBreakBefore w:val="0"/>
        <w:widowControl w:val="0"/>
        <w:kinsoku/>
        <w:wordWrap/>
        <w:overflowPunct w:val="0"/>
        <w:topLinePunct/>
        <w:autoSpaceDE w:val="0"/>
        <w:autoSpaceDN w:val="0"/>
        <w:bidi w:val="0"/>
        <w:snapToGrid w:val="0"/>
        <w:spacing w:line="360" w:lineRule="auto"/>
        <w:ind w:left="0" w:leftChars="0" w:firstLine="480" w:firstLineChars="200"/>
        <w:jc w:val="both"/>
        <w:rPr>
          <w:rFonts w:hint="default" w:ascii="Times New Roman" w:hAnsi="Times New Roman" w:eastAsia="仿宋" w:cs="Times New Roman"/>
          <w:color w:val="auto"/>
          <w:lang w:val="en-US" w:eastAsia="zh-CN"/>
        </w:rPr>
      </w:pPr>
      <w:r>
        <w:rPr>
          <w:rFonts w:hint="default" w:ascii="Times New Roman" w:hAnsi="Times New Roman" w:eastAsia="仿宋" w:cs="Times New Roman"/>
          <w:snapToGrid w:val="0"/>
          <w:color w:val="auto"/>
          <w:sz w:val="24"/>
          <w:lang w:val="en-US" w:eastAsia="zh-CN"/>
        </w:rPr>
        <w:t>9.</w:t>
      </w:r>
      <w:r>
        <w:rPr>
          <w:rFonts w:hint="eastAsia" w:ascii="Times New Roman" w:hAnsi="Times New Roman" w:eastAsia="仿宋" w:cs="Times New Roman"/>
          <w:snapToGrid w:val="0"/>
          <w:color w:val="auto"/>
          <w:sz w:val="24"/>
          <w:lang w:val="en-US" w:eastAsia="zh-CN"/>
        </w:rPr>
        <w:t>3</w:t>
      </w:r>
      <w:r>
        <w:rPr>
          <w:rFonts w:hint="default" w:ascii="Times New Roman" w:hAnsi="Times New Roman" w:eastAsia="仿宋" w:cs="Times New Roman"/>
          <w:snapToGrid w:val="0"/>
          <w:color w:val="auto"/>
          <w:sz w:val="24"/>
          <w:lang w:val="en-US" w:eastAsia="zh-CN"/>
        </w:rPr>
        <w:t>乙方配合甲方取得该项目环境影响评价批复后15个工作日内，甲方向乙方支付合同价的30%，即人民币</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lang w:val="en-US" w:eastAsia="zh-CN"/>
        </w:rPr>
        <w:t>元（</w:t>
      </w:r>
      <w:r>
        <w:rPr>
          <w:rFonts w:hint="eastAsia" w:ascii="Times New Roman" w:hAnsi="Times New Roman" w:eastAsia="仿宋" w:cs="Times New Roman"/>
          <w:snapToGrid w:val="0"/>
          <w:color w:val="auto"/>
          <w:sz w:val="24"/>
          <w:u w:val="single"/>
          <w:lang w:val="en-US" w:eastAsia="zh-CN"/>
        </w:rPr>
        <w:t xml:space="preserve">               </w:t>
      </w:r>
      <w:r>
        <w:rPr>
          <w:rFonts w:hint="default" w:ascii="Times New Roman" w:hAnsi="Times New Roman" w:eastAsia="仿宋" w:cs="Times New Roman"/>
          <w:snapToGrid w:val="0"/>
          <w:color w:val="auto"/>
          <w:sz w:val="24"/>
          <w:u w:val="single"/>
          <w:lang w:val="en-US" w:eastAsia="zh-CN"/>
        </w:rPr>
        <w:t>整</w:t>
      </w:r>
      <w:r>
        <w:rPr>
          <w:rFonts w:hint="default" w:ascii="Times New Roman" w:hAnsi="Times New Roman" w:eastAsia="仿宋" w:cs="Times New Roman"/>
          <w:snapToGrid w:val="0"/>
          <w:color w:val="auto"/>
          <w:sz w:val="24"/>
          <w:lang w:val="en-US" w:eastAsia="zh-CN"/>
        </w:rPr>
        <w:t>）</w:t>
      </w:r>
      <w:r>
        <w:rPr>
          <w:rFonts w:hint="eastAsia" w:ascii="Times New Roman" w:hAnsi="Times New Roman" w:eastAsia="仿宋" w:cs="Times New Roman"/>
          <w:snapToGrid w:val="0"/>
          <w:color w:val="auto"/>
          <w:sz w:val="24"/>
          <w:lang w:val="en-US" w:eastAsia="zh-CN"/>
        </w:rPr>
        <w:t>。</w:t>
      </w:r>
    </w:p>
    <w:p w14:paraId="239BE751">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eastAsia" w:ascii="Times New Roman" w:hAnsi="Times New Roman" w:eastAsia="仿宋" w:cs="Times New Roman"/>
          <w:snapToGrid w:val="0"/>
          <w:color w:val="auto"/>
          <w:kern w:val="2"/>
          <w:sz w:val="24"/>
          <w:szCs w:val="24"/>
          <w:lang w:val="en-US" w:eastAsia="zh-CN" w:bidi="ar-SA"/>
        </w:rPr>
      </w:pPr>
      <w:r>
        <w:rPr>
          <w:rFonts w:hint="default" w:ascii="Times New Roman" w:hAnsi="Times New Roman" w:eastAsia="仿宋" w:cs="Times New Roman"/>
          <w:snapToGrid w:val="0"/>
          <w:color w:val="auto"/>
          <w:kern w:val="2"/>
          <w:sz w:val="24"/>
          <w:szCs w:val="24"/>
          <w:lang w:val="en-US" w:eastAsia="zh-CN" w:bidi="ar-SA"/>
        </w:rPr>
        <w:t>9.</w:t>
      </w:r>
      <w:r>
        <w:rPr>
          <w:rFonts w:hint="eastAsia" w:ascii="Times New Roman" w:hAnsi="Times New Roman" w:eastAsia="仿宋" w:cs="Times New Roman"/>
          <w:snapToGrid w:val="0"/>
          <w:color w:val="auto"/>
          <w:kern w:val="2"/>
          <w:sz w:val="24"/>
          <w:szCs w:val="24"/>
          <w:lang w:val="en-US" w:eastAsia="zh-CN" w:bidi="ar-SA"/>
        </w:rPr>
        <w:t>4</w:t>
      </w:r>
      <w:r>
        <w:rPr>
          <w:rFonts w:hint="default" w:ascii="Times New Roman" w:hAnsi="Times New Roman" w:eastAsia="仿宋" w:cs="Times New Roman"/>
          <w:snapToGrid w:val="0"/>
          <w:color w:val="auto"/>
          <w:kern w:val="2"/>
          <w:sz w:val="24"/>
          <w:szCs w:val="24"/>
          <w:lang w:val="en-US" w:eastAsia="zh-CN" w:bidi="ar-SA"/>
        </w:rPr>
        <w:t>每一次付款，由乙方向甲方提出支付申请，经甲方审批同意后，乙方申请支付时向甲方出具正式合法增值税专用发票，并提供满足支付条件的证明资料。甲方采用</w:t>
      </w:r>
      <w:r>
        <w:rPr>
          <w:rFonts w:hint="default" w:ascii="Times New Roman" w:hAnsi="Times New Roman" w:eastAsia="仿宋" w:cs="Times New Roman"/>
          <w:snapToGrid w:val="0"/>
          <w:color w:val="auto"/>
          <w:kern w:val="2"/>
          <w:sz w:val="24"/>
          <w:szCs w:val="24"/>
          <w:highlight w:val="none"/>
          <w:lang w:val="en-US" w:eastAsia="zh-CN" w:bidi="ar-SA"/>
        </w:rPr>
        <w:t>供应链方式</w:t>
      </w:r>
      <w:r>
        <w:rPr>
          <w:rFonts w:hint="default" w:ascii="Times New Roman" w:hAnsi="Times New Roman" w:eastAsia="仿宋" w:cs="Times New Roman"/>
          <w:snapToGrid w:val="0"/>
          <w:color w:val="auto"/>
          <w:kern w:val="2"/>
          <w:sz w:val="24"/>
          <w:szCs w:val="24"/>
          <w:lang w:val="en-US" w:eastAsia="zh-CN" w:bidi="ar-SA"/>
        </w:rPr>
        <w:t>支付（期限6个月）</w:t>
      </w:r>
      <w:r>
        <w:rPr>
          <w:rFonts w:hint="eastAsia" w:ascii="Times New Roman" w:hAnsi="Times New Roman" w:eastAsia="仿宋" w:cs="Times New Roman"/>
          <w:snapToGrid w:val="0"/>
          <w:color w:val="auto"/>
          <w:kern w:val="2"/>
          <w:sz w:val="24"/>
          <w:szCs w:val="24"/>
          <w:lang w:val="en-US" w:eastAsia="zh-CN" w:bidi="ar-SA"/>
        </w:rPr>
        <w:t>或银行转账方式支付</w:t>
      </w:r>
      <w:bookmarkStart w:id="3" w:name="_GoBack"/>
      <w:bookmarkEnd w:id="3"/>
      <w:r>
        <w:rPr>
          <w:rFonts w:hint="default" w:ascii="Times New Roman" w:hAnsi="Times New Roman" w:eastAsia="仿宋" w:cs="Times New Roman"/>
          <w:snapToGrid w:val="0"/>
          <w:color w:val="auto"/>
          <w:kern w:val="2"/>
          <w:sz w:val="24"/>
          <w:szCs w:val="24"/>
          <w:lang w:val="en-US" w:eastAsia="zh-CN" w:bidi="ar-SA"/>
        </w:rPr>
        <w:t>，乙方办理供应链贴现融资所产生的所有相关费用由乙方自行承担</w:t>
      </w:r>
      <w:r>
        <w:rPr>
          <w:rFonts w:hint="eastAsia" w:ascii="Times New Roman" w:hAnsi="Times New Roman" w:eastAsia="仿宋" w:cs="Times New Roman"/>
          <w:snapToGrid w:val="0"/>
          <w:color w:val="auto"/>
          <w:kern w:val="2"/>
          <w:sz w:val="24"/>
          <w:szCs w:val="24"/>
          <w:lang w:val="en-US" w:eastAsia="zh-CN" w:bidi="ar-SA"/>
        </w:rPr>
        <w:t>。</w:t>
      </w:r>
    </w:p>
    <w:p w14:paraId="1DC582F1">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第十条 双方责任</w:t>
      </w:r>
    </w:p>
    <w:p w14:paraId="3434F25E">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10.1甲方责任</w:t>
      </w:r>
    </w:p>
    <w:p w14:paraId="62B61AB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10.1.1甲方按本合同第五条规定的内容，在规定的时间内向乙方提交基础资料及文件，并对其完整性、正确性及时限负责。甲方不得要求乙方违反国家有关法律、法规及技术标准开展工作。甲方逾期提交上述资料及文件的，乙方按本合同第六条规定的交付时间顺延相同时间。</w:t>
      </w:r>
    </w:p>
    <w:p w14:paraId="31F3CEB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10.1.2甲方变更委托项目的工作内容、工作范围或质量标准、数量或因提交的资料错误，或所提交资料作较大修改，以致造成乙方返工时，双方另行协商签订补充协议（或另订合同）、重新明确有关条款。</w:t>
      </w:r>
    </w:p>
    <w:p w14:paraId="288B5E1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10.1.3 在合同履行期间，甲方要求终止或解除合同，乙方未开始工作的，甲方不支付任何费用，乙方已开始工作的，甲方应根据乙方已进行的实际工作量，就费用结算事宜双方签订补充协议（或另订合同）。</w:t>
      </w:r>
    </w:p>
    <w:p w14:paraId="6CEB7A4E">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10.1.4甲方应按本合同规定的金额和日期向乙方支付合同款项。</w:t>
      </w:r>
    </w:p>
    <w:p w14:paraId="2C5A24F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10.1.5甲方要求乙方比合同规定时间提前交付文件时，须征得乙方同意，不得严重背离合理工作周期。</w:t>
      </w:r>
    </w:p>
    <w:p w14:paraId="2A7EA231">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u w:val="single"/>
        </w:rPr>
      </w:pPr>
      <w:r>
        <w:rPr>
          <w:rFonts w:hint="default" w:ascii="Times New Roman" w:hAnsi="Times New Roman" w:eastAsia="仿宋" w:cs="Times New Roman"/>
          <w:snapToGrid w:val="0"/>
          <w:color w:val="auto"/>
          <w:sz w:val="24"/>
          <w:highlight w:val="none"/>
        </w:rPr>
        <w:t>10.1.6甲方应指定专人负责本合同内容的履行并与乙方进行对接。甲方指定的负责人为</w:t>
      </w:r>
      <w:r>
        <w:rPr>
          <w:rFonts w:hint="eastAsia" w:ascii="Times New Roman" w:hAnsi="Times New Roman" w:eastAsia="仿宋" w:cs="Times New Roman"/>
          <w:snapToGrid w:val="0"/>
          <w:color w:val="auto"/>
          <w:sz w:val="24"/>
          <w:highlight w:val="none"/>
          <w:u w:val="single"/>
          <w:lang w:val="en-US" w:eastAsia="zh-CN"/>
        </w:rPr>
        <w:t xml:space="preserve">     </w:t>
      </w:r>
      <w:r>
        <w:rPr>
          <w:rFonts w:hint="default" w:ascii="Times New Roman" w:hAnsi="Times New Roman" w:eastAsia="仿宋" w:cs="Times New Roman"/>
          <w:snapToGrid w:val="0"/>
          <w:color w:val="auto"/>
          <w:sz w:val="24"/>
          <w:highlight w:val="none"/>
        </w:rPr>
        <w:t>，</w:t>
      </w:r>
      <w:r>
        <w:rPr>
          <w:rFonts w:hint="default" w:ascii="Times New Roman" w:hAnsi="Times New Roman" w:eastAsia="仿宋" w:cs="Times New Roman"/>
          <w:snapToGrid w:val="0"/>
          <w:color w:val="auto"/>
          <w:sz w:val="24"/>
          <w:highlight w:val="none"/>
          <w:u w:val="none"/>
        </w:rPr>
        <w:t>电话为</w:t>
      </w:r>
      <w:r>
        <w:rPr>
          <w:rFonts w:hint="eastAsia" w:ascii="Times New Roman" w:hAnsi="Times New Roman" w:eastAsia="仿宋" w:cs="Times New Roman"/>
          <w:snapToGrid w:val="0"/>
          <w:color w:val="auto"/>
          <w:sz w:val="24"/>
          <w:highlight w:val="none"/>
          <w:u w:val="single"/>
          <w:lang w:val="en-US" w:eastAsia="zh-CN"/>
        </w:rPr>
        <w:t xml:space="preserve">        </w:t>
      </w:r>
      <w:r>
        <w:rPr>
          <w:rFonts w:hint="default" w:ascii="Times New Roman" w:hAnsi="Times New Roman" w:eastAsia="仿宋" w:cs="Times New Roman"/>
          <w:snapToGrid w:val="0"/>
          <w:color w:val="auto"/>
          <w:sz w:val="24"/>
          <w:highlight w:val="none"/>
          <w:u w:val="none"/>
        </w:rPr>
        <w:t>，身份证号：</w:t>
      </w:r>
      <w:r>
        <w:rPr>
          <w:rFonts w:hint="eastAsia" w:ascii="Times New Roman" w:hAnsi="Times New Roman" w:eastAsia="仿宋" w:cs="Times New Roman"/>
          <w:snapToGrid w:val="0"/>
          <w:color w:val="auto"/>
          <w:sz w:val="24"/>
          <w:highlight w:val="none"/>
          <w:u w:val="single"/>
          <w:lang w:val="en-US" w:eastAsia="zh-CN"/>
        </w:rPr>
        <w:t xml:space="preserve">                  </w:t>
      </w:r>
      <w:r>
        <w:rPr>
          <w:rFonts w:hint="default" w:ascii="Times New Roman" w:hAnsi="Times New Roman" w:eastAsia="仿宋" w:cs="Times New Roman"/>
          <w:snapToGrid w:val="0"/>
          <w:color w:val="auto"/>
          <w:sz w:val="24"/>
          <w:highlight w:val="none"/>
          <w:u w:val="single"/>
        </w:rPr>
        <w:t>。</w:t>
      </w:r>
    </w:p>
    <w:p w14:paraId="5D09E49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10.2 乙方责任</w:t>
      </w:r>
    </w:p>
    <w:p w14:paraId="3C06C4D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10.2.1乙方应按国家规定和合同约定的法律法规、技术规范、标准开展工作，按本合同第六条规定的内容、时间及份数向甲方交付成果文件（出现本合同约定的有关交付成果文件顺延的情况除外），并对提交的成果文件的质量负责。</w:t>
      </w:r>
    </w:p>
    <w:p w14:paraId="4F6D766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10.2.2 乙方应保证有足够的专业技术人员和设备按时保质完成本合同约定的工作任务。</w:t>
      </w:r>
    </w:p>
    <w:p w14:paraId="28BE889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rPr>
        <w:t>10.2.3乙方应指定专人负责本合同内容的履行并与甲方进行对接。乙方指定的负</w:t>
      </w:r>
      <w:r>
        <w:rPr>
          <w:rFonts w:hint="default" w:ascii="Times New Roman" w:hAnsi="Times New Roman" w:eastAsia="仿宋" w:cs="Times New Roman"/>
          <w:snapToGrid w:val="0"/>
          <w:color w:val="auto"/>
          <w:sz w:val="24"/>
          <w:highlight w:val="none"/>
        </w:rPr>
        <w:t>责人为</w:t>
      </w:r>
      <w:r>
        <w:rPr>
          <w:rFonts w:hint="eastAsia" w:ascii="Times New Roman" w:hAnsi="Times New Roman" w:eastAsia="仿宋" w:cs="Times New Roman"/>
          <w:snapToGrid w:val="0"/>
          <w:sz w:val="24"/>
          <w:highlight w:val="none"/>
          <w:u w:val="single"/>
          <w:lang w:val="en-US" w:eastAsia="zh-CN"/>
        </w:rPr>
        <w:t xml:space="preserve">      </w:t>
      </w:r>
      <w:r>
        <w:rPr>
          <w:rFonts w:hint="default" w:ascii="Times New Roman" w:hAnsi="Times New Roman" w:eastAsia="仿宋" w:cs="Times New Roman"/>
          <w:snapToGrid w:val="0"/>
          <w:sz w:val="24"/>
          <w:highlight w:val="none"/>
          <w:u w:val="single"/>
        </w:rPr>
        <w:t>，</w:t>
      </w:r>
      <w:r>
        <w:rPr>
          <w:rFonts w:hint="default" w:ascii="Times New Roman" w:hAnsi="Times New Roman" w:eastAsia="仿宋" w:cs="Times New Roman"/>
          <w:snapToGrid w:val="0"/>
          <w:sz w:val="24"/>
          <w:highlight w:val="none"/>
        </w:rPr>
        <w:t>电话为</w:t>
      </w:r>
      <w:r>
        <w:rPr>
          <w:rFonts w:hint="eastAsia" w:ascii="Times New Roman" w:hAnsi="Times New Roman" w:eastAsia="仿宋" w:cs="Times New Roman"/>
          <w:snapToGrid w:val="0"/>
          <w:sz w:val="24"/>
          <w:highlight w:val="none"/>
          <w:u w:val="single"/>
          <w:lang w:val="en-US" w:eastAsia="zh-CN"/>
        </w:rPr>
        <w:t xml:space="preserve">         </w:t>
      </w:r>
      <w:r>
        <w:rPr>
          <w:rFonts w:hint="default" w:ascii="Times New Roman" w:hAnsi="Times New Roman" w:eastAsia="仿宋" w:cs="Times New Roman"/>
          <w:snapToGrid w:val="0"/>
          <w:sz w:val="24"/>
          <w:highlight w:val="none"/>
          <w:u w:val="single"/>
        </w:rPr>
        <w:t>，</w:t>
      </w:r>
      <w:r>
        <w:rPr>
          <w:rFonts w:hint="default" w:ascii="Times New Roman" w:hAnsi="Times New Roman" w:eastAsia="仿宋" w:cs="Times New Roman"/>
          <w:snapToGrid w:val="0"/>
          <w:sz w:val="24"/>
          <w:highlight w:val="none"/>
        </w:rPr>
        <w:t>身份证号：</w:t>
      </w:r>
      <w:r>
        <w:rPr>
          <w:rFonts w:hint="eastAsia" w:ascii="Times New Roman" w:hAnsi="Times New Roman" w:eastAsia="仿宋" w:cs="Times New Roman"/>
          <w:snapToGrid w:val="0"/>
          <w:sz w:val="24"/>
          <w:highlight w:val="none"/>
          <w:u w:val="single"/>
          <w:lang w:val="en-US" w:eastAsia="zh-CN"/>
        </w:rPr>
        <w:t xml:space="preserve">               </w:t>
      </w:r>
      <w:r>
        <w:rPr>
          <w:rFonts w:hint="default" w:ascii="Times New Roman" w:hAnsi="Times New Roman" w:eastAsia="仿宋" w:cs="Times New Roman"/>
          <w:snapToGrid w:val="0"/>
          <w:sz w:val="24"/>
          <w:highlight w:val="none"/>
          <w:u w:val="single"/>
        </w:rPr>
        <w:t>。</w:t>
      </w:r>
    </w:p>
    <w:p w14:paraId="598866C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10.2.4乙方提交的成果文件合理使用年限为</w:t>
      </w:r>
      <w:r>
        <w:rPr>
          <w:rFonts w:hint="default" w:ascii="Times New Roman" w:hAnsi="Times New Roman" w:eastAsia="仿宋" w:cs="Times New Roman"/>
          <w:snapToGrid w:val="0"/>
          <w:color w:val="auto"/>
          <w:sz w:val="24"/>
          <w:highlight w:val="none"/>
          <w:u w:val="single"/>
        </w:rPr>
        <w:t>15</w:t>
      </w:r>
      <w:r>
        <w:rPr>
          <w:rFonts w:hint="default" w:ascii="Times New Roman" w:hAnsi="Times New Roman" w:eastAsia="仿宋" w:cs="Times New Roman"/>
          <w:snapToGrid w:val="0"/>
          <w:color w:val="auto"/>
          <w:sz w:val="24"/>
          <w:highlight w:val="none"/>
        </w:rPr>
        <w:t>年。</w:t>
      </w:r>
    </w:p>
    <w:p w14:paraId="7B342559">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10.2.5乙方负责对外的审查、汇报工作，负责该合同项目的联络和后续服务工作。</w:t>
      </w:r>
    </w:p>
    <w:p w14:paraId="1AD7BFB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10.2.6 乙方对成果文件出现的遗漏或错误负责修改或补充。由于乙方成果错误造成工程质量事故或其他损失，甲方有权没收履约保证金，乙方除负责采取补救措施外，应免收受损失部分的工作费，还应当向甲方支付合同总金额20%的违约金，并赔偿由此给甲方造成的全部经济损失。</w:t>
      </w:r>
    </w:p>
    <w:p w14:paraId="58C547E4">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10.2.7</w:t>
      </w:r>
      <w:r>
        <w:rPr>
          <w:rFonts w:hint="default" w:ascii="Times New Roman" w:hAnsi="Times New Roman" w:eastAsia="仿宋" w:cs="Times New Roman"/>
          <w:snapToGrid w:val="0"/>
          <w:color w:val="auto"/>
          <w:sz w:val="24"/>
          <w:highlight w:val="none"/>
          <w:lang w:val="en-US" w:eastAsia="zh-CN"/>
        </w:rPr>
        <w:t>由于乙方原因，延误了成果文件交付时间，在应收合同经费中按照人民币2000元/天的标准扣取，直至合同经费扣完为止。延误超过15日的，甲方有权立即解除本合同。甲方解除本合同的，本合同自甲方解除合同的书面通知送达乙方之日起解除，甲方有权没收乙方的履约保证金（若有），并赔偿由此给甲方造成的全部经济损失。</w:t>
      </w:r>
    </w:p>
    <w:p w14:paraId="51E6480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10.2.8乙方开展工作或提交成果所选用的国家标准图、部标准图、行业标准图及地方标准图由乙方负责解决。</w:t>
      </w:r>
    </w:p>
    <w:p w14:paraId="7FD8F37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10.2.9乙方应为己方人员购买国家法定保险，为派驻现场的工作人员提供工作、生活及交通等方面的便利条件及必要的劳动保护装备。</w:t>
      </w:r>
    </w:p>
    <w:p w14:paraId="24B5D13E">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10.2.10 合同生效后，乙方无正当理由要求终止或解除合同的，乙方应向甲方支付合同总金额20%的违约金，甲方有权同时没收乙方的履约保证金。</w:t>
      </w:r>
    </w:p>
    <w:p w14:paraId="20B6143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10.2.11乙方应当严格按照《中华人民共和国安全生产法》《四川省安全生产条例（修订）》等法律法规，以及安全生产操作规程等制度相关要求完成本合同约定的工作任务，确保工作过程中的工作人员和他人的人身和财产安全。如因乙方原因造成人身或者财产损失的，由乙方承担全部责任。</w:t>
      </w:r>
    </w:p>
    <w:p w14:paraId="41EFB2A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rPr>
        <w:t>10.2.12乙方应当保守在履行本合同过程中所知晓的甲方的未公开的商业和技术信息，未经甲方书面同意，乙方不得以任何方式向任何第三方透露上述信息，否</w:t>
      </w:r>
      <w:r>
        <w:rPr>
          <w:rFonts w:hint="default" w:ascii="Times New Roman" w:hAnsi="Times New Roman" w:eastAsia="仿宋" w:cs="Times New Roman"/>
          <w:snapToGrid w:val="0"/>
          <w:color w:val="auto"/>
          <w:sz w:val="24"/>
          <w:highlight w:val="none"/>
        </w:rPr>
        <w:t>则，应赔偿由此给甲方造成的全部经济损失，构成犯罪的，依法追究刑事责任。</w:t>
      </w:r>
    </w:p>
    <w:p w14:paraId="4593AB45">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10.2.13乙方不得将本合同内容的部分或者全部转包给其他人，否则甲方有权立即解除合同，追究乙方的违约责任。甲方解除本合同的，本合同自甲方解除合同的书面通知送达乙方之日起解除，甲方有权没收乙方的履约保证金，乙方应退还甲方已付的全部费用，并按照本合同总金额的20%向甲方支付违约金。</w:t>
      </w:r>
    </w:p>
    <w:p w14:paraId="6F0DFF92">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highlight w:val="none"/>
        </w:rPr>
        <w:t>10.2.14乙方违反本合同约定的，除按照上述约定支付违约金外，乙方还</w:t>
      </w:r>
      <w:r>
        <w:rPr>
          <w:rFonts w:hint="default" w:ascii="Times New Roman" w:hAnsi="Times New Roman" w:eastAsia="仿宋" w:cs="Times New Roman"/>
          <w:snapToGrid w:val="0"/>
          <w:color w:val="auto"/>
          <w:sz w:val="24"/>
        </w:rPr>
        <w:t>应当承担甲方因追究其违约责任所产生的诉讼费、保全费、保全担保保险费、律师费、交通费等合理费用。乙方支付的违约金不足以弥补因违约给甲方造成的经济损失的，乙方还应补足甲方的经济损失差额。</w:t>
      </w:r>
    </w:p>
    <w:p w14:paraId="07E7555D">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第十一条 保密和知识产权保护</w:t>
      </w:r>
    </w:p>
    <w:p w14:paraId="7C4B8C2F">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11.1甲方单位所提供的资料中部分内容可能为国家规定的涉秘资料，乙方须按国家保密法及实施条例规定，在本单位内规范使用，严禁复制或在互联网上传输。乙方单位及个人不得利用职权、工作之便或采用其他手段向其他单位和个人擅自披露、传输或转让使用本成果资料。</w:t>
      </w:r>
    </w:p>
    <w:p w14:paraId="41E0D414">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11.2甲方单位已获得中国质量认证中心QES三标体系认证。乙方在工作职责内，注意遵守环境及职业健康安全方面的相关法律法规要求。</w:t>
      </w:r>
    </w:p>
    <w:p w14:paraId="07EE4690">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11.3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41C3A8CC">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第十二条 争议解决</w:t>
      </w:r>
    </w:p>
    <w:p w14:paraId="38E8B7B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12.1本合同发生争议，甲方与乙方应及时协商解决。协商不成时，任何一方可向甲方所在地有管辖权的人民法院起诉。</w:t>
      </w:r>
    </w:p>
    <w:p w14:paraId="0A495532">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第十三条 通知和送达</w:t>
      </w:r>
    </w:p>
    <w:p w14:paraId="4412DC03">
      <w:pPr>
        <w:keepNext w:val="0"/>
        <w:keepLines w:val="0"/>
        <w:pageBreakBefore w:val="0"/>
        <w:widowControl w:val="0"/>
        <w:kinsoku/>
        <w:wordWrap/>
        <w:overflowPunct w:val="0"/>
        <w:topLinePunct/>
        <w:autoSpaceDE w:val="0"/>
        <w:autoSpaceDN w:val="0"/>
        <w:bidi w:val="0"/>
        <w:snapToGrid w:val="0"/>
        <w:spacing w:line="520" w:lineRule="exact"/>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13.1本合同项下任何一方向对方发出的通知、信件、数据电文等，应当发送至本合同下列约定的地址、联系人和通信终端。一方当事人的名称、地址、联系人或通信终端发生变更的，应当在变更后3日内及时书面通知对方当事人，对方当事人实际收到变更通知前的送达仍为有效送达，电子送达与书面送达具有同等法律效力，双方确认的送达地址适用范围包括但不限于各类告知书、通知书、工作联系单、协议文件、诉讼或仲裁文书，送达主体可以是合同各方、人民法院、仲裁委员会及行政机关。</w:t>
      </w:r>
    </w:p>
    <w:p w14:paraId="1E1D921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13.2甲乙双方的联系信息如下：</w:t>
      </w:r>
    </w:p>
    <w:p w14:paraId="0AFF5668">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13.2.1甲方联系人：</w:t>
      </w:r>
      <w:r>
        <w:rPr>
          <w:rFonts w:hint="eastAsia" w:ascii="Times New Roman" w:hAnsi="Times New Roman" w:eastAsia="仿宋" w:cs="Times New Roman"/>
          <w:snapToGrid w:val="0"/>
          <w:color w:val="auto"/>
          <w:sz w:val="24"/>
          <w:lang w:val="en-US" w:eastAsia="zh-CN"/>
        </w:rPr>
        <w:t xml:space="preserve">     </w:t>
      </w:r>
      <w:r>
        <w:rPr>
          <w:rFonts w:hint="default" w:ascii="Times New Roman" w:hAnsi="Times New Roman" w:eastAsia="仿宋" w:cs="Times New Roman"/>
          <w:snapToGrid w:val="0"/>
          <w:color w:val="auto"/>
          <w:sz w:val="24"/>
        </w:rPr>
        <w:t>，联系电话：</w:t>
      </w:r>
      <w:r>
        <w:rPr>
          <w:rFonts w:hint="eastAsia" w:ascii="Times New Roman" w:hAnsi="Times New Roman" w:eastAsia="仿宋" w:cs="Times New Roman"/>
          <w:snapToGrid w:val="0"/>
          <w:color w:val="auto"/>
          <w:sz w:val="24"/>
          <w:lang w:val="en-US" w:eastAsia="zh-CN"/>
        </w:rPr>
        <w:t xml:space="preserve">      </w:t>
      </w:r>
      <w:r>
        <w:rPr>
          <w:rFonts w:hint="default" w:ascii="Times New Roman" w:hAnsi="Times New Roman" w:eastAsia="仿宋" w:cs="Times New Roman"/>
          <w:snapToGrid w:val="0"/>
          <w:color w:val="auto"/>
          <w:sz w:val="24"/>
        </w:rPr>
        <w:t>，传真：</w:t>
      </w:r>
      <w:r>
        <w:rPr>
          <w:rFonts w:hint="default" w:ascii="Times New Roman" w:hAnsi="Times New Roman" w:eastAsia="仿宋" w:cs="Times New Roman"/>
          <w:snapToGrid w:val="0"/>
          <w:color w:val="auto"/>
          <w:sz w:val="24"/>
          <w:lang w:val="en-US" w:eastAsia="zh-CN"/>
        </w:rPr>
        <w:t>/,</w:t>
      </w:r>
      <w:r>
        <w:rPr>
          <w:rFonts w:hint="default" w:ascii="Times New Roman" w:hAnsi="Times New Roman" w:eastAsia="仿宋" w:cs="Times New Roman"/>
          <w:snapToGrid w:val="0"/>
          <w:color w:val="auto"/>
          <w:sz w:val="24"/>
        </w:rPr>
        <w:t>电子邮箱：</w:t>
      </w:r>
      <w:r>
        <w:rPr>
          <w:rFonts w:hint="eastAsia" w:ascii="Times New Roman" w:hAnsi="Times New Roman" w:eastAsia="仿宋" w:cs="Times New Roman"/>
          <w:snapToGrid w:val="0"/>
          <w:color w:val="auto"/>
          <w:sz w:val="24"/>
          <w:lang w:val="en-US" w:eastAsia="zh-CN"/>
        </w:rPr>
        <w:t xml:space="preserve">        </w:t>
      </w:r>
      <w:r>
        <w:rPr>
          <w:rFonts w:hint="default" w:ascii="Times New Roman" w:hAnsi="Times New Roman" w:eastAsia="仿宋" w:cs="Times New Roman"/>
          <w:snapToGrid w:val="0"/>
          <w:color w:val="auto"/>
          <w:sz w:val="24"/>
          <w:lang w:eastAsia="zh-CN"/>
        </w:rPr>
        <w:t>，</w:t>
      </w:r>
      <w:r>
        <w:rPr>
          <w:rFonts w:hint="default" w:ascii="Times New Roman" w:hAnsi="Times New Roman" w:eastAsia="仿宋" w:cs="Times New Roman"/>
          <w:snapToGrid w:val="0"/>
          <w:color w:val="auto"/>
          <w:sz w:val="24"/>
        </w:rPr>
        <w:t>通讯地址：</w:t>
      </w:r>
      <w:r>
        <w:rPr>
          <w:rFonts w:hint="default" w:ascii="Times New Roman" w:hAnsi="Times New Roman" w:eastAsia="仿宋" w:cs="Times New Roman"/>
          <w:snapToGrid w:val="0"/>
          <w:color w:val="auto"/>
          <w:sz w:val="24"/>
          <w:lang w:eastAsia="zh-CN"/>
        </w:rPr>
        <w:t>成都市双流区顺兴大道一段189号蜀道云上城12栋</w:t>
      </w:r>
      <w:r>
        <w:rPr>
          <w:rFonts w:hint="default" w:ascii="Times New Roman" w:hAnsi="Times New Roman" w:eastAsia="仿宋" w:cs="Times New Roman"/>
          <w:snapToGrid w:val="0"/>
          <w:color w:val="auto"/>
          <w:sz w:val="24"/>
        </w:rPr>
        <w:t>，邮编：</w:t>
      </w:r>
      <w:r>
        <w:rPr>
          <w:rFonts w:hint="eastAsia" w:ascii="Times New Roman" w:hAnsi="Times New Roman" w:eastAsia="仿宋" w:cs="Times New Roman"/>
          <w:snapToGrid w:val="0"/>
          <w:color w:val="auto"/>
          <w:sz w:val="24"/>
          <w:highlight w:val="none"/>
          <w:lang w:val="en-US" w:eastAsia="zh-CN"/>
        </w:rPr>
        <w:t>/</w:t>
      </w:r>
      <w:r>
        <w:rPr>
          <w:rFonts w:hint="default" w:ascii="Times New Roman" w:hAnsi="Times New Roman" w:eastAsia="仿宋" w:cs="Times New Roman"/>
          <w:snapToGrid w:val="0"/>
          <w:color w:val="auto"/>
          <w:sz w:val="24"/>
          <w:highlight w:val="none"/>
        </w:rPr>
        <w:t>。</w:t>
      </w:r>
    </w:p>
    <w:p w14:paraId="0F5BE687">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highlight w:val="none"/>
        </w:rPr>
      </w:pPr>
      <w:r>
        <w:rPr>
          <w:rFonts w:hint="default" w:ascii="Times New Roman" w:hAnsi="Times New Roman" w:eastAsia="仿宋" w:cs="Times New Roman"/>
          <w:snapToGrid w:val="0"/>
          <w:color w:val="auto"/>
          <w:sz w:val="24"/>
          <w:highlight w:val="none"/>
        </w:rPr>
        <w:t>13.2.2</w:t>
      </w:r>
      <w:r>
        <w:rPr>
          <w:rFonts w:hint="default" w:ascii="Times New Roman" w:hAnsi="Times New Roman" w:eastAsia="仿宋" w:cs="Times New Roman"/>
          <w:snapToGrid w:val="0"/>
          <w:sz w:val="24"/>
          <w:highlight w:val="none"/>
        </w:rPr>
        <w:t>乙方联系人：</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，联系电话：</w:t>
      </w:r>
      <w:r>
        <w:rPr>
          <w:rFonts w:hint="eastAsia" w:ascii="Times New Roman" w:hAnsi="Times New Roman" w:eastAsia="仿宋" w:cs="Times New Roman"/>
          <w:snapToGrid w:val="0"/>
          <w:sz w:val="24"/>
          <w:highlight w:val="none"/>
          <w:u w:val="single"/>
          <w:lang w:val="en-US" w:eastAsia="zh-CN"/>
        </w:rPr>
        <w:t xml:space="preserve">           </w:t>
      </w:r>
      <w:r>
        <w:rPr>
          <w:rFonts w:hint="default" w:ascii="Times New Roman" w:hAnsi="Times New Roman" w:eastAsia="仿宋" w:cs="Times New Roman"/>
          <w:snapToGrid w:val="0"/>
          <w:sz w:val="24"/>
          <w:highlight w:val="none"/>
        </w:rPr>
        <w:t>，传真：</w:t>
      </w:r>
      <w:r>
        <w:rPr>
          <w:rFonts w:hint="default" w:ascii="Times New Roman" w:hAnsi="Times New Roman" w:eastAsia="仿宋" w:cs="Times New Roman"/>
          <w:snapToGrid w:val="0"/>
          <w:sz w:val="24"/>
          <w:highlight w:val="none"/>
          <w:lang w:val="en-US" w:eastAsia="zh-CN"/>
        </w:rPr>
        <w:t>/,</w:t>
      </w:r>
      <w:r>
        <w:rPr>
          <w:rFonts w:hint="default" w:ascii="Times New Roman" w:hAnsi="Times New Roman" w:eastAsia="仿宋" w:cs="Times New Roman"/>
          <w:snapToGrid w:val="0"/>
          <w:sz w:val="24"/>
          <w:highlight w:val="none"/>
        </w:rPr>
        <w:t>电子</w:t>
      </w:r>
      <w:r>
        <w:rPr>
          <w:rFonts w:hint="default" w:ascii="Times New Roman" w:hAnsi="Times New Roman" w:eastAsia="仿宋" w:cs="Times New Roman"/>
          <w:snapToGrid w:val="0"/>
          <w:sz w:val="24"/>
          <w:highlight w:val="none"/>
          <w:lang w:val="en-US" w:eastAsia="zh-CN"/>
        </w:rPr>
        <w:t>邮箱</w:t>
      </w:r>
      <w:r>
        <w:rPr>
          <w:rFonts w:hint="default" w:ascii="Times New Roman" w:hAnsi="Times New Roman" w:eastAsia="仿宋" w:cs="Times New Roman"/>
          <w:snapToGrid w:val="0"/>
          <w:sz w:val="24"/>
          <w:highlight w:val="none"/>
        </w:rPr>
        <w:t>：</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,通讯地址：</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，邮编：</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w:t>
      </w:r>
    </w:p>
    <w:p w14:paraId="6391BBF4">
      <w:pPr>
        <w:keepNext w:val="0"/>
        <w:keepLines w:val="0"/>
        <w:pageBreakBefore w:val="0"/>
        <w:widowControl w:val="0"/>
        <w:kinsoku/>
        <w:wordWrap/>
        <w:overflowPunct w:val="0"/>
        <w:topLinePunct/>
        <w:autoSpaceDE w:val="0"/>
        <w:autoSpaceDN w:val="0"/>
        <w:bidi w:val="0"/>
        <w:snapToGrid w:val="0"/>
        <w:spacing w:line="360" w:lineRule="auto"/>
        <w:jc w:val="both"/>
        <w:outlineLvl w:val="0"/>
        <w:rPr>
          <w:rFonts w:hint="default" w:ascii="Times New Roman" w:hAnsi="Times New Roman" w:eastAsia="仿宋_GB2312" w:cs="Times New Roman"/>
          <w:b/>
          <w:snapToGrid w:val="0"/>
          <w:color w:val="auto"/>
          <w:kern w:val="0"/>
          <w:sz w:val="24"/>
        </w:rPr>
      </w:pPr>
      <w:r>
        <w:rPr>
          <w:rFonts w:hint="default" w:ascii="Times New Roman" w:hAnsi="Times New Roman" w:eastAsia="仿宋_GB2312" w:cs="Times New Roman"/>
          <w:b/>
          <w:snapToGrid w:val="0"/>
          <w:color w:val="auto"/>
          <w:kern w:val="0"/>
          <w:sz w:val="24"/>
        </w:rPr>
        <w:t>第十四条 合同生效及其他</w:t>
      </w:r>
    </w:p>
    <w:p w14:paraId="07E93EFF">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14.1由于不可抗力因素致使合同无法履行时，双方应及时协商解决。</w:t>
      </w:r>
    </w:p>
    <w:p w14:paraId="6230875B">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14.2未尽事宜，经双方协商一致，签订补充协议，补充协议与本合同具有同等效力。</w:t>
      </w:r>
    </w:p>
    <w:p w14:paraId="614EA40D">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14.3双方认可的来往传真、电报、会议纪要等，均为合同的组成部分，与本合同具有同等法律效力。</w:t>
      </w:r>
    </w:p>
    <w:p w14:paraId="555AA56A">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 w:cs="Times New Roman"/>
          <w:snapToGrid w:val="0"/>
          <w:color w:val="auto"/>
          <w:sz w:val="24"/>
        </w:rPr>
        <w:t>14.4本合同双方法定代表人或授权代表签字盖章生效，一式 陆 份，甲乙双方各持 叁 份，具有同等法律效力。</w:t>
      </w:r>
    </w:p>
    <w:p w14:paraId="6AA2ADA4">
      <w:pPr>
        <w:keepNext w:val="0"/>
        <w:keepLines w:val="0"/>
        <w:pageBreakBefore w:val="0"/>
        <w:widowControl w:val="0"/>
        <w:kinsoku/>
        <w:wordWrap/>
        <w:overflowPunct w:val="0"/>
        <w:topLinePunct/>
        <w:autoSpaceDE w:val="0"/>
        <w:autoSpaceDN w:val="0"/>
        <w:bidi w:val="0"/>
        <w:snapToGrid w:val="0"/>
        <w:spacing w:line="360" w:lineRule="auto"/>
        <w:ind w:firstLine="480" w:firstLineChars="200"/>
        <w:jc w:val="both"/>
        <w:rPr>
          <w:rFonts w:hint="default" w:ascii="Times New Roman" w:hAnsi="Times New Roman" w:eastAsia="仿宋" w:cs="Times New Roman"/>
          <w:snapToGrid w:val="0"/>
          <w:color w:val="auto"/>
          <w:sz w:val="24"/>
        </w:rPr>
      </w:pPr>
      <w:r>
        <w:rPr>
          <w:rFonts w:hint="default" w:ascii="Times New Roman" w:hAnsi="Times New Roman" w:eastAsia="仿宋_GB2312" w:cs="Times New Roman"/>
          <w:snapToGrid w:val="0"/>
          <w:color w:val="auto"/>
          <w:sz w:val="24"/>
          <w:lang w:eastAsia="zh-CN"/>
        </w:rPr>
        <w:br w:type="page"/>
      </w:r>
      <w:r>
        <w:rPr>
          <w:rFonts w:hint="default" w:ascii="Times New Roman" w:hAnsi="Times New Roman" w:eastAsia="仿宋" w:cs="Times New Roman"/>
          <w:snapToGrid w:val="0"/>
          <w:color w:val="auto"/>
          <w:sz w:val="24"/>
          <w:lang w:eastAsia="zh-CN"/>
        </w:rPr>
        <w:t>（以下为签章页）</w:t>
      </w:r>
    </w:p>
    <w:tbl>
      <w:tblPr>
        <w:tblStyle w:val="8"/>
        <w:tblW w:w="0" w:type="auto"/>
        <w:jc w:val="center"/>
        <w:tblLayout w:type="fixed"/>
        <w:tblCellMar>
          <w:top w:w="0" w:type="dxa"/>
          <w:left w:w="108" w:type="dxa"/>
          <w:bottom w:w="0" w:type="dxa"/>
          <w:right w:w="108" w:type="dxa"/>
        </w:tblCellMar>
      </w:tblPr>
      <w:tblGrid>
        <w:gridCol w:w="4448"/>
        <w:gridCol w:w="4591"/>
      </w:tblGrid>
      <w:tr w14:paraId="70373ACF">
        <w:tblPrEx>
          <w:tblCellMar>
            <w:top w:w="0" w:type="dxa"/>
            <w:left w:w="108" w:type="dxa"/>
            <w:bottom w:w="0" w:type="dxa"/>
            <w:right w:w="108" w:type="dxa"/>
          </w:tblCellMar>
        </w:tblPrEx>
        <w:trPr>
          <w:trHeight w:val="7230" w:hRule="atLeast"/>
          <w:jc w:val="center"/>
        </w:trPr>
        <w:tc>
          <w:tcPr>
            <w:tcW w:w="4448" w:type="dxa"/>
            <w:noWrap w:val="0"/>
            <w:vAlign w:val="top"/>
          </w:tcPr>
          <w:p w14:paraId="486F4B45">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甲方：四川省交通勘察设计研究院</w:t>
            </w:r>
          </w:p>
          <w:p w14:paraId="2B11F500">
            <w:pPr>
              <w:keepNext w:val="0"/>
              <w:keepLines w:val="0"/>
              <w:pageBreakBefore w:val="0"/>
              <w:widowControl w:val="0"/>
              <w:kinsoku/>
              <w:wordWrap/>
              <w:overflowPunct w:val="0"/>
              <w:topLinePunct/>
              <w:autoSpaceDE w:val="0"/>
              <w:autoSpaceDN w:val="0"/>
              <w:bidi w:val="0"/>
              <w:snapToGrid w:val="0"/>
              <w:spacing w:line="700" w:lineRule="exact"/>
              <w:ind w:firstLine="720" w:firstLineChars="300"/>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有限公司</w:t>
            </w:r>
          </w:p>
          <w:p w14:paraId="14607AB5">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p>
          <w:p w14:paraId="4A99F045">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bCs/>
                <w:color w:val="auto"/>
                <w:sz w:val="24"/>
              </w:rPr>
            </w:pPr>
            <w:r>
              <w:rPr>
                <w:rFonts w:hint="default" w:ascii="Times New Roman" w:hAnsi="Times New Roman" w:eastAsia="仿宋" w:cs="Times New Roman"/>
                <w:color w:val="auto"/>
                <w:sz w:val="24"/>
              </w:rPr>
              <w:t>法定代表人：</w:t>
            </w:r>
          </w:p>
          <w:p w14:paraId="1AE40A61">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（或授权人）</w:t>
            </w:r>
          </w:p>
          <w:p w14:paraId="1B4A25AD">
            <w:pPr>
              <w:keepNext w:val="0"/>
              <w:keepLines w:val="0"/>
              <w:pageBreakBefore w:val="0"/>
              <w:widowControl w:val="0"/>
              <w:kinsoku/>
              <w:wordWrap/>
              <w:overflowPunct w:val="0"/>
              <w:topLinePunct/>
              <w:autoSpaceDE w:val="0"/>
              <w:autoSpaceDN w:val="0"/>
              <w:bidi w:val="0"/>
              <w:snapToGrid w:val="0"/>
              <w:spacing w:line="700" w:lineRule="exact"/>
              <w:jc w:val="both"/>
              <w:rPr>
                <w:rFonts w:hint="eastAsia"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经办人：</w:t>
            </w:r>
            <w:r>
              <w:rPr>
                <w:rFonts w:hint="eastAsia" w:ascii="Times New Roman" w:hAnsi="Times New Roman" w:eastAsia="仿宋" w:cs="Times New Roman"/>
                <w:color w:val="auto"/>
                <w:sz w:val="24"/>
                <w:lang w:val="en-US" w:eastAsia="zh-CN"/>
              </w:rPr>
              <w:t xml:space="preserve"> </w:t>
            </w:r>
          </w:p>
          <w:p w14:paraId="2A8720B2">
            <w:pPr>
              <w:keepNext w:val="0"/>
              <w:keepLines w:val="0"/>
              <w:pageBreakBefore w:val="0"/>
              <w:widowControl w:val="0"/>
              <w:kinsoku/>
              <w:wordWrap/>
              <w:overflowPunct w:val="0"/>
              <w:topLinePunct/>
              <w:autoSpaceDE w:val="0"/>
              <w:autoSpaceDN w:val="0"/>
              <w:bidi w:val="0"/>
              <w:snapToGrid w:val="0"/>
              <w:spacing w:line="700" w:lineRule="exact"/>
              <w:jc w:val="both"/>
              <w:rPr>
                <w:rFonts w:hint="eastAsia" w:ascii="Times New Roman" w:hAnsi="Times New Roman" w:eastAsia="仿宋" w:cs="Times New Roman"/>
                <w:color w:val="auto"/>
                <w:sz w:val="24"/>
                <w:lang w:val="en-US" w:eastAsia="zh-CN"/>
              </w:rPr>
            </w:pPr>
            <w:r>
              <w:rPr>
                <w:rFonts w:hint="default" w:ascii="Times New Roman" w:hAnsi="Times New Roman" w:eastAsia="仿宋" w:cs="Times New Roman"/>
                <w:color w:val="auto"/>
                <w:sz w:val="24"/>
              </w:rPr>
              <w:t>联系电话：</w:t>
            </w:r>
            <w:r>
              <w:rPr>
                <w:rFonts w:hint="eastAsia" w:ascii="Times New Roman" w:hAnsi="Times New Roman" w:eastAsia="仿宋" w:cs="Times New Roman"/>
                <w:color w:val="auto"/>
                <w:sz w:val="24"/>
                <w:lang w:val="en-US" w:eastAsia="zh-CN"/>
              </w:rPr>
              <w:t xml:space="preserve"> </w:t>
            </w:r>
          </w:p>
          <w:p w14:paraId="10554131">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单位地址：</w:t>
            </w:r>
            <w:r>
              <w:rPr>
                <w:rFonts w:hint="default" w:ascii="Times New Roman" w:hAnsi="Times New Roman" w:eastAsia="仿宋" w:cs="Times New Roman"/>
                <w:color w:val="auto"/>
                <w:sz w:val="24"/>
                <w:lang w:eastAsia="zh-CN"/>
              </w:rPr>
              <w:t>成都市双流区顺兴大道一段189号蜀道云上城12栋</w:t>
            </w:r>
          </w:p>
          <w:p w14:paraId="6D6F6EA3">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开户银行：建行成都第二支行</w:t>
            </w:r>
          </w:p>
          <w:p w14:paraId="31F8CC8C">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帐号：51001426208050125148</w:t>
            </w:r>
          </w:p>
          <w:p w14:paraId="431513B8">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color w:val="auto"/>
                <w:sz w:val="24"/>
              </w:rPr>
              <w:t xml:space="preserve">日期： </w:t>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 xml:space="preserve"> 年</w:t>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 xml:space="preserve"> 月</w:t>
            </w:r>
            <w:r>
              <w:rPr>
                <w:rFonts w:hint="eastAsia" w:ascii="Times New Roman" w:hAnsi="Times New Roman" w:eastAsia="仿宋" w:cs="Times New Roman"/>
                <w:color w:val="auto"/>
                <w:sz w:val="24"/>
                <w:lang w:val="en-US" w:eastAsia="zh-CN"/>
              </w:rPr>
              <w:t xml:space="preserve">     </w:t>
            </w:r>
            <w:r>
              <w:rPr>
                <w:rFonts w:hint="default" w:ascii="Times New Roman" w:hAnsi="Times New Roman" w:eastAsia="仿宋" w:cs="Times New Roman"/>
                <w:color w:val="auto"/>
                <w:sz w:val="24"/>
              </w:rPr>
              <w:t xml:space="preserve"> 日</w:t>
            </w:r>
          </w:p>
        </w:tc>
        <w:tc>
          <w:tcPr>
            <w:tcW w:w="4591" w:type="dxa"/>
            <w:noWrap w:val="0"/>
            <w:vAlign w:val="top"/>
          </w:tcPr>
          <w:p w14:paraId="36706601">
            <w:pPr>
              <w:keepNext w:val="0"/>
              <w:keepLines w:val="0"/>
              <w:pageBreakBefore w:val="0"/>
              <w:widowControl w:val="0"/>
              <w:kinsoku/>
              <w:wordWrap/>
              <w:overflowPunct w:val="0"/>
              <w:topLinePunct/>
              <w:autoSpaceDE w:val="0"/>
              <w:autoSpaceDN w:val="0"/>
              <w:bidi w:val="0"/>
              <w:snapToGrid w:val="0"/>
              <w:jc w:val="both"/>
              <w:rPr>
                <w:rFonts w:hint="default" w:ascii="Times New Roman" w:hAnsi="Times New Roman" w:eastAsia="仿宋" w:cs="Times New Roman"/>
                <w:sz w:val="24"/>
              </w:rPr>
            </w:pPr>
          </w:p>
          <w:p w14:paraId="3BB52E84">
            <w:pPr>
              <w:keepNext w:val="0"/>
              <w:keepLines w:val="0"/>
              <w:pageBreakBefore w:val="0"/>
              <w:widowControl w:val="0"/>
              <w:kinsoku/>
              <w:wordWrap/>
              <w:overflowPunct w:val="0"/>
              <w:topLinePunct/>
              <w:autoSpaceDE w:val="0"/>
              <w:autoSpaceDN w:val="0"/>
              <w:bidi w:val="0"/>
              <w:snapToGrid w:val="0"/>
              <w:jc w:val="both"/>
              <w:rPr>
                <w:rFonts w:hint="default" w:ascii="Times New Roman" w:hAnsi="Times New Roman" w:eastAsia="仿宋" w:cs="Times New Roman"/>
                <w:sz w:val="24"/>
                <w:highlight w:val="none"/>
                <w:lang w:val="en-US" w:eastAsia="zh-CN"/>
              </w:rPr>
            </w:pPr>
            <w:r>
              <w:rPr>
                <w:rFonts w:hint="default" w:ascii="Times New Roman" w:hAnsi="Times New Roman" w:eastAsia="仿宋" w:cs="Times New Roman"/>
                <w:sz w:val="24"/>
                <w:highlight w:val="none"/>
              </w:rPr>
              <w:t>乙方：</w:t>
            </w:r>
            <w:r>
              <w:rPr>
                <w:rFonts w:hint="eastAsia" w:ascii="Times New Roman" w:hAnsi="Times New Roman" w:eastAsia="仿宋" w:cs="Times New Roman"/>
                <w:sz w:val="24"/>
                <w:highlight w:val="none"/>
                <w:lang w:val="en-US" w:eastAsia="zh-CN"/>
              </w:rPr>
              <w:t xml:space="preserve">             </w:t>
            </w:r>
            <w:r>
              <w:rPr>
                <w:rFonts w:hint="default" w:ascii="Times New Roman" w:hAnsi="Times New Roman" w:eastAsia="仿宋" w:cs="Times New Roman"/>
                <w:sz w:val="24"/>
                <w:highlight w:val="none"/>
                <w:lang w:val="en-US" w:eastAsia="zh-CN"/>
              </w:rPr>
              <w:t xml:space="preserve">                      </w:t>
            </w:r>
          </w:p>
          <w:p w14:paraId="1CB5748D">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 xml:space="preserve">               </w:t>
            </w:r>
          </w:p>
          <w:p w14:paraId="7C006C62">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p>
          <w:p w14:paraId="45E521E0">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法定代表人：</w:t>
            </w:r>
          </w:p>
          <w:p w14:paraId="0AA7288C">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（或授权人）</w:t>
            </w:r>
          </w:p>
          <w:p w14:paraId="31E33DAA">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lang w:val="en-US" w:eastAsia="zh-CN"/>
              </w:rPr>
            </w:pPr>
            <w:r>
              <w:rPr>
                <w:rFonts w:hint="default" w:ascii="Times New Roman" w:hAnsi="Times New Roman" w:eastAsia="仿宋" w:cs="Times New Roman"/>
                <w:sz w:val="24"/>
                <w:highlight w:val="none"/>
              </w:rPr>
              <w:t>经办人：</w:t>
            </w:r>
            <w:r>
              <w:rPr>
                <w:rFonts w:hint="eastAsia" w:ascii="Times New Roman" w:hAnsi="Times New Roman" w:eastAsia="仿宋" w:cs="Times New Roman"/>
                <w:sz w:val="24"/>
                <w:highlight w:val="none"/>
                <w:lang w:val="en-US" w:eastAsia="zh-CN"/>
              </w:rPr>
              <w:t xml:space="preserve">    </w:t>
            </w:r>
            <w:r>
              <w:rPr>
                <w:rFonts w:hint="default" w:ascii="Times New Roman" w:hAnsi="Times New Roman" w:eastAsia="仿宋" w:cs="Times New Roman"/>
                <w:sz w:val="24"/>
                <w:highlight w:val="none"/>
                <w:lang w:val="en-US" w:eastAsia="zh-CN"/>
              </w:rPr>
              <w:t xml:space="preserve">        </w:t>
            </w:r>
          </w:p>
          <w:p w14:paraId="03C2EF5E">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联系电话：</w:t>
            </w:r>
            <w:r>
              <w:rPr>
                <w:rFonts w:hint="eastAsia" w:ascii="Times New Roman" w:hAnsi="Times New Roman" w:eastAsia="仿宋" w:cs="Times New Roman"/>
                <w:sz w:val="24"/>
                <w:highlight w:val="none"/>
                <w:lang w:val="en-US" w:eastAsia="zh-CN"/>
              </w:rPr>
              <w:t xml:space="preserve">    </w:t>
            </w:r>
            <w:r>
              <w:rPr>
                <w:rFonts w:hint="default"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z w:val="24"/>
                <w:highlight w:val="none"/>
              </w:rPr>
              <w:t xml:space="preserve">        </w:t>
            </w:r>
          </w:p>
          <w:p w14:paraId="2E679FE7">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z w:val="24"/>
                <w:highlight w:val="none"/>
              </w:rPr>
              <w:t>单位地址：</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z w:val="24"/>
                <w:highlight w:val="none"/>
              </w:rPr>
              <w:t xml:space="preserve">      </w:t>
            </w:r>
          </w:p>
          <w:p w14:paraId="24EB9FB3">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napToGrid w:val="0"/>
                <w:sz w:val="24"/>
                <w:highlight w:val="none"/>
                <w:lang w:val="en-US" w:eastAsia="zh-CN"/>
              </w:rPr>
            </w:pPr>
            <w:r>
              <w:rPr>
                <w:rFonts w:hint="default" w:ascii="Times New Roman" w:hAnsi="Times New Roman" w:eastAsia="仿宋" w:cs="Times New Roman"/>
                <w:sz w:val="24"/>
                <w:highlight w:val="none"/>
              </w:rPr>
              <w:t>开户银行：</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lang w:val="en-US" w:eastAsia="zh-CN"/>
              </w:rPr>
              <w:t xml:space="preserve">             </w:t>
            </w:r>
          </w:p>
          <w:p w14:paraId="30FAE7AF">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sz w:val="24"/>
                <w:highlight w:val="none"/>
              </w:rPr>
            </w:pPr>
            <w:r>
              <w:rPr>
                <w:rFonts w:hint="default" w:ascii="Times New Roman" w:hAnsi="Times New Roman" w:eastAsia="仿宋" w:cs="Times New Roman"/>
                <w:snapToGrid w:val="0"/>
                <w:sz w:val="24"/>
                <w:highlight w:val="none"/>
              </w:rPr>
              <w:t>帐号：</w:t>
            </w:r>
            <w:r>
              <w:rPr>
                <w:rFonts w:hint="eastAsia"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lang w:val="en-US" w:eastAsia="zh-CN"/>
              </w:rPr>
              <w:t xml:space="preserve">              </w:t>
            </w:r>
            <w:r>
              <w:rPr>
                <w:rFonts w:hint="default" w:ascii="Times New Roman" w:hAnsi="Times New Roman" w:eastAsia="仿宋" w:cs="Times New Roman"/>
                <w:snapToGrid w:val="0"/>
                <w:sz w:val="24"/>
                <w:highlight w:val="none"/>
              </w:rPr>
              <w:t xml:space="preserve">      </w:t>
            </w:r>
            <w:r>
              <w:rPr>
                <w:rFonts w:hint="default" w:ascii="Times New Roman" w:hAnsi="Times New Roman" w:eastAsia="仿宋" w:cs="Times New Roman"/>
                <w:sz w:val="24"/>
                <w:highlight w:val="none"/>
              </w:rPr>
              <w:t xml:space="preserve">       </w:t>
            </w:r>
          </w:p>
          <w:p w14:paraId="4DCC1C72">
            <w:pPr>
              <w:keepNext w:val="0"/>
              <w:keepLines w:val="0"/>
              <w:pageBreakBefore w:val="0"/>
              <w:widowControl w:val="0"/>
              <w:kinsoku/>
              <w:wordWrap/>
              <w:overflowPunct w:val="0"/>
              <w:topLinePunct/>
              <w:autoSpaceDE w:val="0"/>
              <w:autoSpaceDN w:val="0"/>
              <w:bidi w:val="0"/>
              <w:snapToGrid w:val="0"/>
              <w:spacing w:line="700" w:lineRule="exact"/>
              <w:jc w:val="both"/>
              <w:rPr>
                <w:rFonts w:hint="default" w:ascii="Times New Roman" w:hAnsi="Times New Roman" w:eastAsia="仿宋" w:cs="Times New Roman"/>
                <w:color w:val="auto"/>
                <w:sz w:val="24"/>
              </w:rPr>
            </w:pPr>
            <w:r>
              <w:rPr>
                <w:rFonts w:hint="default" w:ascii="Times New Roman" w:hAnsi="Times New Roman" w:eastAsia="仿宋" w:cs="Times New Roman"/>
                <w:sz w:val="24"/>
                <w:highlight w:val="none"/>
              </w:rPr>
              <w:t>日期：</w:t>
            </w:r>
            <w:r>
              <w:rPr>
                <w:rFonts w:hint="default" w:ascii="Times New Roman" w:hAnsi="Times New Roman" w:eastAsia="仿宋" w:cs="Times New Roman"/>
                <w:sz w:val="24"/>
                <w:highlight w:val="none"/>
                <w:lang w:val="en-US" w:eastAsia="zh-CN"/>
              </w:rPr>
              <w:t xml:space="preserve">       </w:t>
            </w:r>
            <w:r>
              <w:rPr>
                <w:rFonts w:hint="default" w:ascii="Times New Roman" w:hAnsi="Times New Roman" w:eastAsia="仿宋" w:cs="Times New Roman"/>
                <w:sz w:val="24"/>
                <w:highlight w:val="none"/>
              </w:rPr>
              <w:t xml:space="preserve"> 年   月   日</w:t>
            </w:r>
          </w:p>
        </w:tc>
      </w:tr>
    </w:tbl>
    <w:p w14:paraId="25448025">
      <w:pPr>
        <w:keepNext w:val="0"/>
        <w:keepLines w:val="0"/>
        <w:pageBreakBefore w:val="0"/>
        <w:widowControl w:val="0"/>
        <w:kinsoku/>
        <w:wordWrap/>
        <w:overflowPunct w:val="0"/>
        <w:topLinePunct/>
        <w:autoSpaceDE w:val="0"/>
        <w:autoSpaceDN w:val="0"/>
        <w:bidi w:val="0"/>
        <w:snapToGrid w:val="0"/>
        <w:spacing w:before="100" w:beforeAutospacing="1" w:after="100" w:afterAutospacing="1" w:line="360" w:lineRule="auto"/>
        <w:jc w:val="both"/>
        <w:rPr>
          <w:rFonts w:hint="default" w:ascii="Times New Roman" w:hAnsi="Times New Roman" w:cs="Times New Roman"/>
          <w:b/>
          <w:bCs/>
          <w:color w:val="auto"/>
          <w:kern w:val="0"/>
          <w:sz w:val="24"/>
        </w:rPr>
      </w:pPr>
    </w:p>
    <w:p w14:paraId="41E64A0F">
      <w:pPr>
        <w:keepNext w:val="0"/>
        <w:keepLines w:val="0"/>
        <w:pageBreakBefore w:val="0"/>
        <w:widowControl w:val="0"/>
        <w:kinsoku/>
        <w:wordWrap/>
        <w:overflowPunct w:val="0"/>
        <w:topLinePunct/>
        <w:autoSpaceDE w:val="0"/>
        <w:autoSpaceDN w:val="0"/>
        <w:bidi w:val="0"/>
        <w:snapToGrid w:val="0"/>
        <w:spacing w:line="600" w:lineRule="exact"/>
        <w:ind w:firstLine="4480" w:firstLineChars="1400"/>
        <w:jc w:val="both"/>
        <w:rPr>
          <w:rFonts w:hint="default" w:ascii="Times New Roman" w:hAnsi="Times New Roman" w:eastAsia="仿宋_GB2312" w:cs="Times New Roman"/>
          <w:color w:val="auto"/>
          <w:sz w:val="32"/>
          <w:szCs w:val="32"/>
        </w:rPr>
      </w:pPr>
    </w:p>
    <w:p w14:paraId="1AC1DAA1">
      <w:pPr>
        <w:pStyle w:val="4"/>
        <w:keepNext w:val="0"/>
        <w:keepLines w:val="0"/>
        <w:pageBreakBefore w:val="0"/>
        <w:widowControl w:val="0"/>
        <w:kinsoku/>
        <w:wordWrap/>
        <w:overflowPunct w:val="0"/>
        <w:topLinePunct/>
        <w:autoSpaceDE w:val="0"/>
        <w:autoSpaceDN w:val="0"/>
        <w:bidi w:val="0"/>
        <w:snapToGrid w:val="0"/>
        <w:spacing w:line="352" w:lineRule="auto"/>
        <w:jc w:val="both"/>
        <w:rPr>
          <w:rFonts w:hint="default" w:ascii="Times New Roman" w:hAnsi="Times New Roman" w:cs="Times New Roman"/>
        </w:rPr>
      </w:pPr>
    </w:p>
    <w:p w14:paraId="5620A94E">
      <w:pPr>
        <w:pStyle w:val="4"/>
        <w:keepNext w:val="0"/>
        <w:keepLines w:val="0"/>
        <w:pageBreakBefore w:val="0"/>
        <w:widowControl w:val="0"/>
        <w:kinsoku/>
        <w:wordWrap/>
        <w:overflowPunct w:val="0"/>
        <w:topLinePunct/>
        <w:autoSpaceDE w:val="0"/>
        <w:autoSpaceDN w:val="0"/>
        <w:bidi w:val="0"/>
        <w:snapToGrid w:val="0"/>
        <w:spacing w:line="297" w:lineRule="auto"/>
        <w:jc w:val="both"/>
        <w:rPr>
          <w:rFonts w:hint="default" w:ascii="Times New Roman" w:hAnsi="Times New Roman" w:cs="Times New Roman"/>
        </w:rPr>
      </w:pPr>
    </w:p>
    <w:p w14:paraId="7BFD6EE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1" w:fontKey="{AA723062-0E13-4809-894F-B663BF1254F4}"/>
  </w:font>
  <w:font w:name="等线 Light">
    <w:panose1 w:val="02010600030101010101"/>
    <w:charset w:val="86"/>
    <w:family w:val="auto"/>
    <w:pitch w:val="default"/>
    <w:sig w:usb0="A00002BF" w:usb1="38CF7CFA" w:usb2="00000016" w:usb3="00000000" w:csb0="0004000F" w:csb1="00000000"/>
  </w:font>
  <w:font w:name="方正小标宋_GBK">
    <w:panose1 w:val="02000000000000000000"/>
    <w:charset w:val="86"/>
    <w:family w:val="auto"/>
    <w:pitch w:val="default"/>
    <w:sig w:usb0="A00002BF" w:usb1="38CF7CFA" w:usb2="00082016" w:usb3="00000000" w:csb0="00040001" w:csb1="00000000"/>
    <w:embedRegular r:id="rId2" w:fontKey="{0FEE40C6-AB5B-4A6E-B67E-A5EDF4EFF6A4}"/>
  </w:font>
  <w:font w:name="方正小标宋简体">
    <w:panose1 w:val="02000000000000000000"/>
    <w:charset w:val="86"/>
    <w:family w:val="auto"/>
    <w:pitch w:val="default"/>
    <w:sig w:usb0="00000001" w:usb1="08000000" w:usb2="00000000" w:usb3="00000000" w:csb0="00040000" w:csb1="00000000"/>
    <w:embedRegular r:id="rId3" w:fontKey="{A4DEF779-2C05-42D7-B339-35BD08C4340E}"/>
  </w:font>
  <w:font w:name="仿宋_GB2312">
    <w:altName w:val="仿宋"/>
    <w:panose1 w:val="02010609030101010101"/>
    <w:charset w:val="86"/>
    <w:family w:val="modern"/>
    <w:pitch w:val="default"/>
    <w:sig w:usb0="00000000" w:usb1="00000000" w:usb2="00000000" w:usb3="00000000" w:csb0="00040000" w:csb1="00000000"/>
    <w:embedRegular r:id="rId4" w:fontKey="{08931C7C-B729-4F85-B5A3-F429A6708C2B}"/>
  </w:font>
  <w:font w:name="Wingdings 2">
    <w:panose1 w:val="05020102010507070707"/>
    <w:charset w:val="02"/>
    <w:family w:val="auto"/>
    <w:pitch w:val="default"/>
    <w:sig w:usb0="00000000" w:usb1="00000000" w:usb2="00000000" w:usb3="00000000" w:csb0="80000000" w:csb1="00000000"/>
    <w:embedRegular r:id="rId5" w:fontKey="{D1F3820D-ADE8-403E-AC58-FA56CE314B0E}"/>
  </w:font>
  <w:font w:name="WPSEMBED4">
    <w:panose1 w:val="02000000000000000000"/>
    <w:charset w:val="86"/>
    <w:family w:val="auto"/>
    <w:pitch w:val="default"/>
    <w:sig w:usb0="A00002BF" w:usb1="38CF7CFA" w:usb2="00082016" w:usb3="00000000" w:csb0="00040001" w:csb1="00000000"/>
  </w:font>
  <w:font w:name="WPSEMBED5">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FC145C"/>
    <w:rsid w:val="06282470"/>
    <w:rsid w:val="09EB2950"/>
    <w:rsid w:val="0DAC1658"/>
    <w:rsid w:val="0E553D49"/>
    <w:rsid w:val="3EF6185C"/>
    <w:rsid w:val="3F87704C"/>
    <w:rsid w:val="42390B3C"/>
    <w:rsid w:val="49764061"/>
    <w:rsid w:val="5328171F"/>
    <w:rsid w:val="58A865D4"/>
    <w:rsid w:val="5AD5544E"/>
    <w:rsid w:val="5D176E34"/>
    <w:rsid w:val="68D37A3C"/>
    <w:rsid w:val="6ADE7E9C"/>
    <w:rsid w:val="709919D9"/>
    <w:rsid w:val="71C10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2"/>
    <w:basedOn w:val="1"/>
    <w:qFormat/>
    <w:uiPriority w:val="0"/>
    <w:pPr>
      <w:ind w:firstLine="570"/>
    </w:pPr>
    <w:rPr>
      <w:rFonts w:ascii="仿宋" w:hAnsi="仿宋"/>
      <w:kern w:val="0"/>
    </w:rPr>
  </w:style>
  <w:style w:type="paragraph" w:styleId="3">
    <w:name w:val="annotation text"/>
    <w:basedOn w:val="1"/>
    <w:qFormat/>
    <w:uiPriority w:val="0"/>
    <w:pPr>
      <w:jc w:val="left"/>
    </w:p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Body Text Indent"/>
    <w:basedOn w:val="1"/>
    <w:qFormat/>
    <w:uiPriority w:val="99"/>
    <w:pPr>
      <w:ind w:left="313" w:leftChars="152" w:firstLine="630"/>
    </w:pPr>
    <w:rPr>
      <w:kern w:val="0"/>
      <w:sz w:val="20"/>
      <w:szCs w:val="21"/>
    </w:rPr>
  </w:style>
  <w:style w:type="paragraph" w:styleId="6">
    <w:name w:val="Title"/>
    <w:basedOn w:val="1"/>
    <w:next w:val="1"/>
    <w:qFormat/>
    <w:uiPriority w:val="0"/>
    <w:pPr>
      <w:spacing w:before="240" w:after="60"/>
      <w:jc w:val="center"/>
      <w:outlineLvl w:val="0"/>
    </w:pPr>
    <w:rPr>
      <w:rFonts w:ascii="等线 Light" w:hAnsi="等线 Light" w:cs="Times New Roman"/>
      <w:b/>
      <w:bCs/>
      <w:sz w:val="32"/>
      <w:szCs w:val="32"/>
    </w:rPr>
  </w:style>
  <w:style w:type="paragraph" w:styleId="7">
    <w:name w:val="Body Text First Indent 2"/>
    <w:basedOn w:val="5"/>
    <w:next w:val="1"/>
    <w:qFormat/>
    <w:uiPriority w:val="0"/>
    <w:pPr>
      <w:spacing w:after="120"/>
      <w:ind w:left="420" w:leftChars="200" w:firstLine="420" w:firstLineChars="200"/>
    </w:pPr>
    <w:rPr>
      <w:rFonts w:ascii="宋体" w:hAnsi="Calibri"/>
      <w:kern w:val="2"/>
      <w:sz w:val="21"/>
      <w:szCs w:val="24"/>
    </w:rPr>
  </w:style>
  <w:style w:type="paragraph" w:customStyle="1" w:styleId="10">
    <w:name w:val="样式3"/>
    <w:basedOn w:val="6"/>
    <w:qFormat/>
    <w:uiPriority w:val="0"/>
    <w:rPr>
      <w:sz w:val="36"/>
    </w:rPr>
  </w:style>
  <w:style w:type="paragraph" w:customStyle="1" w:styleId="11">
    <w:name w:val="Default"/>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5523</Words>
  <Characters>5958</Characters>
  <Lines>0</Lines>
  <Paragraphs>0</Paragraphs>
  <TotalTime>3</TotalTime>
  <ScaleCrop>false</ScaleCrop>
  <LinksUpToDate>false</LinksUpToDate>
  <CharactersWithSpaces>6658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2025-07-10T08:32:00Z</dcterms:created>
  <dc:creator>Administrator</dc:creator>
  <cp:lastModifiedBy>ππ</cp:lastModifiedBy>
  <cp:lastPrinted>2025-09-04T03:09:00Z</cp:lastPrinted>
  <dcterms:modified xsi:type="dcterms:W3CDTF">2025-09-11T07:25:20Z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eyJoZGlkIjoiYzliOWNkZGRlYmU1NmFmMzUzNTg5NTRmZTgxNDk5MWIiLCJ1c2VySWQiOiI1MjE4MzkyMzYifQ==</vt:lpwstr>
  </property>
  <property fmtid="{D5CDD505-2E9C-101B-9397-08002B2CF9AE}" pid="4" name="ICV">
    <vt:lpwstr>FFECDA3A33F54DF59A9AA8673B559977_13</vt:lpwstr>
  </property>
</Properties>
</file>