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CA34F">
      <w:pPr>
        <w:snapToGrid w:val="0"/>
        <w:spacing w:line="440" w:lineRule="exact"/>
        <w:jc w:val="center"/>
        <w:rPr>
          <w:b/>
          <w:snapToGrid w:val="0"/>
          <w:kern w:val="0"/>
          <w:sz w:val="36"/>
          <w:szCs w:val="36"/>
        </w:rPr>
      </w:pPr>
      <w:r>
        <w:rPr>
          <w:b/>
          <w:snapToGrid w:val="0"/>
          <w:kern w:val="0"/>
          <w:sz w:val="36"/>
          <w:szCs w:val="36"/>
        </w:rPr>
        <w:t>外部供应采购询价函</w:t>
      </w:r>
    </w:p>
    <w:p w14:paraId="7091EB6F">
      <w:pPr>
        <w:pStyle w:val="75"/>
        <w:shd w:val="clear" w:color="auto" w:fill="FFFFFF"/>
        <w:adjustRightInd w:val="0"/>
        <w:snapToGrid w:val="0"/>
        <w:spacing w:before="0" w:beforeAutospacing="0" w:after="0" w:afterAutospacing="0" w:line="360" w:lineRule="exact"/>
        <w:rPr>
          <w:rFonts w:ascii="仿宋_GB2312" w:hAnsi="仿宋_GB2312" w:eastAsia="仿宋_GB2312" w:cs="仿宋_GB2312"/>
          <w:snapToGrid w:val="0"/>
        </w:rPr>
      </w:pPr>
      <w:r>
        <w:rPr>
          <w:rFonts w:hint="eastAsia" w:ascii="仿宋_GB2312" w:hAnsi="仿宋_GB2312" w:eastAsia="仿宋_GB2312" w:cs="仿宋_GB2312"/>
          <w:snapToGrid w:val="0"/>
        </w:rPr>
        <w:t>各供应商：</w:t>
      </w:r>
    </w:p>
    <w:p w14:paraId="2901E415">
      <w:pPr>
        <w:adjustRightInd w:val="0"/>
        <w:snapToGrid w:val="0"/>
        <w:spacing w:line="3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根据相关法律法规及《生产经营项目外部供应采购管理办法》规定，现</w:t>
      </w:r>
      <w:r>
        <w:rPr>
          <w:rFonts w:hint="eastAsia" w:ascii="仿宋_GB2312" w:hAnsi="仿宋_GB2312" w:eastAsia="仿宋_GB2312" w:cs="仿宋_GB2312"/>
          <w:snapToGrid w:val="0"/>
          <w:sz w:val="24"/>
          <w:szCs w:val="24"/>
          <w:u w:val="single"/>
        </w:rPr>
        <w:t>攀枝花至盐源高速公路JQ11等8处弃土场稳定性评估和溃坝动力模拟分析报告编制</w:t>
      </w:r>
      <w:r>
        <w:rPr>
          <w:rFonts w:hint="eastAsia" w:ascii="仿宋_GB2312" w:hAnsi="仿宋_GB2312" w:eastAsia="仿宋_GB2312" w:cs="仿宋_GB2312"/>
          <w:sz w:val="24"/>
          <w:szCs w:val="24"/>
        </w:rPr>
        <w:t>需进行询价采购，现将有关事项说明如下：</w:t>
      </w:r>
      <w:bookmarkStart w:id="0" w:name="_Hlk147996300"/>
    </w:p>
    <w:p w14:paraId="4897BCB1">
      <w:pPr>
        <w:adjustRightInd w:val="0"/>
        <w:snapToGrid w:val="0"/>
        <w:spacing w:line="360" w:lineRule="exact"/>
        <w:ind w:firstLine="480"/>
        <w:rPr>
          <w:rFonts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14:paraId="002E9B96">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（一）项目名称：攀枝花至盐源高速公路JQ11等8处弃土场稳定性评估和溃坝动力模拟分析报告编制。</w:t>
      </w:r>
    </w:p>
    <w:p w14:paraId="17136F55">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（二）项目地点：</w:t>
      </w:r>
      <w:bookmarkStart w:id="1" w:name="_Hlk147827144"/>
      <w:r>
        <w:rPr>
          <w:rFonts w:hint="eastAsia" w:ascii="仿宋_GB2312" w:hAnsi="仿宋_GB2312" w:eastAsia="仿宋_GB2312" w:cs="仿宋_GB2312"/>
          <w:kern w:val="2"/>
        </w:rPr>
        <w:t>四川省</w:t>
      </w:r>
      <w:bookmarkEnd w:id="1"/>
      <w:r>
        <w:rPr>
          <w:rFonts w:hint="eastAsia" w:ascii="仿宋_GB2312" w:hAnsi="仿宋_GB2312" w:eastAsia="仿宋_GB2312" w:cs="仿宋_GB2312"/>
          <w:kern w:val="2"/>
        </w:rPr>
        <w:t>凉山彝族自治州。</w:t>
      </w:r>
    </w:p>
    <w:p w14:paraId="5760B54B">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rPr>
      </w:pPr>
      <w:r>
        <w:rPr>
          <w:rFonts w:hint="eastAsia" w:ascii="仿宋_GB2312" w:hAnsi="仿宋_GB2312" w:eastAsia="仿宋_GB2312" w:cs="仿宋_GB2312"/>
        </w:rPr>
        <w:t>（三）项目规模：本项目起于攀枝花市西区格里坪镇附近，接G4216丽攀高速，止于凉山彝族自治州盐源县，接G7611西香高速，路线总长约131公里。采用四车道高速公路技术标准建设，设计速度80公里/小时，路基宽度25.5米，路线全长约131km。</w:t>
      </w:r>
    </w:p>
    <w:p w14:paraId="4E0B30ED">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（四）工作内容：完成本项目JQ11等8处弃土场稳定性评估和溃坝动力模拟分析报告编制，具体包括：</w:t>
      </w:r>
    </w:p>
    <w:p w14:paraId="27ED7174">
      <w:pPr>
        <w:pStyle w:val="75"/>
        <w:shd w:val="clear" w:color="auto" w:fill="FFFFFF"/>
        <w:adjustRightInd w:val="0"/>
        <w:snapToGrid w:val="0"/>
        <w:spacing w:before="0" w:beforeAutospacing="0" w:after="0" w:afterAutospacing="0" w:line="360" w:lineRule="exact"/>
        <w:ind w:left="1138" w:leftChars="542"/>
        <w:rPr>
          <w:rFonts w:ascii="仿宋_GB2312" w:hAnsi="仿宋_GB2312" w:eastAsia="仿宋_GB2312" w:cs="仿宋_GB2312"/>
          <w:kern w:val="2"/>
        </w:rPr>
      </w:pPr>
      <w:r>
        <w:rPr>
          <w:rFonts w:hint="eastAsia" w:ascii="仿宋_GB2312" w:hAnsi="仿宋_GB2312" w:eastAsia="仿宋_GB2312" w:cs="仿宋_GB2312"/>
          <w:kern w:val="2"/>
        </w:rPr>
        <w:t>1.本次评估内容包含弃渣场的地质条件及周边环境介绍、渣场稳定性分析、拦挡工程稳定性分析、渣场排导设施过流能力以及安全稳定性评价等；</w:t>
      </w:r>
    </w:p>
    <w:p w14:paraId="5A176409">
      <w:pPr>
        <w:pStyle w:val="75"/>
        <w:shd w:val="clear" w:color="auto" w:fill="FFFFFF"/>
        <w:adjustRightInd w:val="0"/>
        <w:snapToGrid w:val="0"/>
        <w:spacing w:before="0" w:beforeAutospacing="0" w:after="0" w:afterAutospacing="0" w:line="360" w:lineRule="exact"/>
        <w:ind w:left="1138" w:leftChars="542"/>
        <w:rPr>
          <w:rFonts w:ascii="仿宋_GB2312" w:hAnsi="仿宋_GB2312" w:eastAsia="仿宋_GB2312" w:cs="仿宋_GB2312"/>
          <w:kern w:val="2"/>
        </w:rPr>
      </w:pPr>
      <w:r>
        <w:rPr>
          <w:rFonts w:hint="eastAsia" w:ascii="仿宋_GB2312" w:hAnsi="仿宋_GB2312" w:eastAsia="仿宋_GB2312" w:cs="仿宋_GB2312"/>
          <w:kern w:val="2"/>
        </w:rPr>
        <w:t>2.弃渣场下游一定范围内有公共设施、基础设施、工业企业、居民点等敏感因素，应有论证并有明确的“不存在重大影响”的论证结论，并进行溃坝分析；</w:t>
      </w:r>
    </w:p>
    <w:p w14:paraId="065D89DD">
      <w:pPr>
        <w:pStyle w:val="75"/>
        <w:shd w:val="clear" w:color="auto" w:fill="FFFFFF"/>
        <w:adjustRightInd w:val="0"/>
        <w:snapToGrid w:val="0"/>
        <w:spacing w:before="0" w:beforeAutospacing="0" w:after="0" w:afterAutospacing="0" w:line="360" w:lineRule="exact"/>
        <w:ind w:left="1138" w:leftChars="542"/>
        <w:rPr>
          <w:rFonts w:ascii="仿宋_GB2312" w:hAnsi="仿宋_GB2312" w:eastAsia="仿宋_GB2312" w:cs="仿宋_GB2312"/>
          <w:kern w:val="2"/>
        </w:rPr>
      </w:pPr>
      <w:r>
        <w:rPr>
          <w:rFonts w:hint="eastAsia" w:ascii="仿宋_GB2312" w:hAnsi="仿宋_GB2312" w:eastAsia="仿宋_GB2312" w:cs="仿宋_GB2312"/>
          <w:kern w:val="2"/>
        </w:rPr>
        <w:t>3.应进行相应的渗流分析、水工模拟等(若需要)。</w:t>
      </w:r>
    </w:p>
    <w:p w14:paraId="4D7E96C3">
      <w:pPr>
        <w:adjustRightInd w:val="0"/>
        <w:snapToGrid w:val="0"/>
        <w:spacing w:line="360" w:lineRule="exact"/>
        <w:ind w:firstLine="48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二、询价须知</w:t>
      </w:r>
    </w:p>
    <w:p w14:paraId="3E761CF2">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（一）资格要求：具有独立法人资格。</w:t>
      </w:r>
    </w:p>
    <w:p w14:paraId="06BEEA63">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（二）资质要求：具有工程咨询单位资信评价证书（公路）专业甲级</w:t>
      </w:r>
      <w:r>
        <w:rPr>
          <w:rFonts w:hint="eastAsia" w:ascii="仿宋_GB2312" w:hAnsi="仿宋_GB2312" w:eastAsia="仿宋_GB2312" w:cs="仿宋_GB2312"/>
          <w:kern w:val="2"/>
          <w:lang w:val="en-US" w:eastAsia="zh-CN"/>
        </w:rPr>
        <w:t>或工程设计资质公路行业（公路）专业甲级</w:t>
      </w:r>
      <w:r>
        <w:rPr>
          <w:rFonts w:hint="eastAsia" w:ascii="仿宋_GB2312" w:hAnsi="仿宋_GB2312" w:eastAsia="仿宋_GB2312" w:cs="仿宋_GB2312"/>
          <w:kern w:val="2"/>
        </w:rPr>
        <w:t>或在公路设计、交通安全研究等方面具有丰富经验的科研院所。</w:t>
      </w:r>
    </w:p>
    <w:p w14:paraId="1BC5821D">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（三）近3年（2022年1月1日至今）至少完成1项一级及以上公路项目的安全或稳定风险评估报告业绩(提供合同全本原件复印件和成果报告扉页复印件,时间以合同为准)。</w:t>
      </w:r>
    </w:p>
    <w:p w14:paraId="658B4290">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（四）人员要求：项目负责人需具备高级工程师或相当于高级工程师（副研究员或副教授）及以上技术职称，近3年（2022年1月1日至今）至少完成 1 项一级及以上公路项目的安全或稳定风险评估报告</w:t>
      </w:r>
      <w:r>
        <w:rPr>
          <w:rFonts w:hint="eastAsia" w:ascii="仿宋_GB2312" w:hAnsi="仿宋_GB2312" w:eastAsia="仿宋_GB2312" w:cs="仿宋_GB2312"/>
          <w:kern w:val="2"/>
          <w:lang w:val="en-US" w:eastAsia="zh-CN"/>
        </w:rPr>
        <w:t>业绩</w:t>
      </w:r>
      <w:r>
        <w:rPr>
          <w:rFonts w:hint="eastAsia" w:ascii="仿宋_GB2312" w:hAnsi="仿宋_GB2312" w:eastAsia="仿宋_GB2312" w:cs="仿宋_GB2312"/>
          <w:kern w:val="2"/>
        </w:rPr>
        <w:t>（以成果扉页或签字页为准）。</w:t>
      </w:r>
    </w:p>
    <w:p w14:paraId="066840D3">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b/>
          <w:bCs/>
          <w:kern w:val="2"/>
        </w:rPr>
      </w:pPr>
      <w:r>
        <w:rPr>
          <w:rFonts w:hint="eastAsia" w:ascii="仿宋_GB2312" w:hAnsi="仿宋_GB2312" w:eastAsia="仿宋_GB2312" w:cs="仿宋_GB2312"/>
          <w:kern w:val="2"/>
        </w:rPr>
        <w:t>（五）含税总价最高限价：人民币35万元。</w:t>
      </w:r>
      <w:r>
        <w:rPr>
          <w:rFonts w:hint="eastAsia" w:ascii="仿宋_GB2312" w:hAnsi="仿宋_GB2312" w:eastAsia="仿宋_GB2312" w:cs="仿宋_GB2312"/>
          <w:b/>
          <w:bCs/>
          <w:kern w:val="2"/>
        </w:rPr>
        <w:t>供应商需分别填报含税总价和增值税税率（所报税率不考虑国家特殊政策对税率的优惠）。报价大小写前后不一致的，以大写为准。不含税总价、增值税额由询价人计算确定。</w:t>
      </w:r>
      <w:r>
        <w:rPr>
          <w:rFonts w:hint="eastAsia" w:ascii="仿宋_GB2312" w:hAnsi="仿宋_GB2312" w:eastAsia="仿宋_GB2312" w:cs="仿宋_GB2312"/>
          <w:kern w:val="2"/>
        </w:rPr>
        <w:t>不含税总价计算式为：不含税总价=含税总价÷(1+增值税税率)（注：不含税总价将保留两位小数）；增值税额计算式为：增值税额=不含税总价×增值税税率。</w:t>
      </w:r>
      <w:r>
        <w:rPr>
          <w:rFonts w:hint="eastAsia" w:ascii="仿宋_GB2312" w:hAnsi="仿宋_GB2312" w:eastAsia="仿宋_GB2312" w:cs="仿宋_GB2312"/>
          <w:b/>
          <w:bCs/>
          <w:kern w:val="2"/>
        </w:rPr>
        <w:t>供应商对计算后的不含税总价、增值税额签字确认。</w:t>
      </w:r>
    </w:p>
    <w:p w14:paraId="345EF924">
      <w:pPr>
        <w:pStyle w:val="75"/>
        <w:shd w:val="clear" w:color="auto" w:fill="FFFFFF"/>
        <w:adjustRightInd w:val="0"/>
        <w:spacing w:before="0" w:beforeAutospacing="0" w:after="0" w:afterAutospacing="0" w:line="440" w:lineRule="exact"/>
        <w:ind w:left="1140" w:leftChars="200" w:hanging="720" w:hangingChars="300"/>
        <w:rPr>
          <w:rFonts w:hint="eastAsia" w:ascii="仿宋_GB2312" w:hAnsi="仿宋_GB2312" w:eastAsia="仿宋_GB2312" w:cs="仿宋_GB2312"/>
          <w:kern w:val="2"/>
        </w:rPr>
      </w:pPr>
      <w:r>
        <w:rPr>
          <w:rFonts w:hint="eastAsia" w:ascii="仿宋_GB2312" w:hAnsi="仿宋_GB2312" w:eastAsia="仿宋_GB2312" w:cs="仿宋_GB2312"/>
          <w:kern w:val="2"/>
        </w:rPr>
        <w:t>（六）工期：自甲方向乙方提供基础资料之日起算，乙方应于 7 日历天内提交送审稿， 10 日历天内通过专家评审。</w:t>
      </w:r>
    </w:p>
    <w:p w14:paraId="43423EA7">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（七）设备要求：无。</w:t>
      </w:r>
    </w:p>
    <w:p w14:paraId="2612B9E4">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（八）供应商报价函须经供应商法定代表人或其授权代表签字并加盖单位公章；如为授权代表签署，则须附法定代表人授权委托书、法定代表人和授权委托人的身份证复印件</w:t>
      </w:r>
      <w:r>
        <w:rPr>
          <w:rFonts w:hint="eastAsia" w:ascii="仿宋_GB2312" w:hAnsi="仿宋_GB2312" w:eastAsia="仿宋_GB2312" w:cs="仿宋_GB2312"/>
          <w:bCs/>
          <w:kern w:val="2"/>
        </w:rPr>
        <w:t>；</w:t>
      </w:r>
      <w:r>
        <w:rPr>
          <w:rFonts w:hint="eastAsia" w:ascii="仿宋_GB2312" w:hAnsi="仿宋_GB2312" w:eastAsia="仿宋_GB2312" w:cs="仿宋_GB2312"/>
          <w:b/>
          <w:kern w:val="2"/>
        </w:rPr>
        <w:t>递交投标文件时，供应商应同时提供本人身份证原件备查。</w:t>
      </w:r>
    </w:p>
    <w:p w14:paraId="377239D2">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bookmarkStart w:id="2" w:name="_Hlk177028163"/>
      <w:r>
        <w:rPr>
          <w:rFonts w:hint="eastAsia" w:ascii="仿宋_GB2312" w:hAnsi="仿宋_GB2312" w:eastAsia="仿宋_GB2312" w:cs="仿宋_GB2312"/>
          <w:kern w:val="2"/>
        </w:rPr>
        <w:t>（九）报价函须注明供应商单位全称及报价时间，格式详见附件，并提供单位清晰有效营业执照、资质证书、开户许可证副本复印件及业绩证明等材料复印件，</w:t>
      </w:r>
      <w:r>
        <w:rPr>
          <w:rFonts w:hint="eastAsia" w:ascii="仿宋_GB2312" w:hAnsi="仿宋_GB2312" w:eastAsia="仿宋_GB2312" w:cs="仿宋_GB2312"/>
          <w:b/>
          <w:kern w:val="2"/>
        </w:rPr>
        <w:t>上述资料均需加盖公章后密封</w:t>
      </w:r>
      <w:r>
        <w:rPr>
          <w:rFonts w:hint="eastAsia" w:ascii="仿宋_GB2312" w:hAnsi="仿宋_GB2312" w:eastAsia="仿宋_GB2312" w:cs="仿宋_GB2312"/>
          <w:kern w:val="2"/>
        </w:rPr>
        <w:t>，</w:t>
      </w:r>
      <w:bookmarkStart w:id="3" w:name="_Hlk98924395"/>
      <w:r>
        <w:rPr>
          <w:rFonts w:hint="eastAsia" w:ascii="仿宋_GB2312" w:hAnsi="仿宋_GB2312" w:eastAsia="仿宋_GB2312" w:cs="仿宋_GB2312"/>
          <w:kern w:val="2"/>
        </w:rPr>
        <w:t>请于</w:t>
      </w:r>
      <w:r>
        <w:rPr>
          <w:rFonts w:hint="eastAsia" w:ascii="仿宋_GB2312" w:hAnsi="仿宋_GB2312" w:eastAsia="仿宋_GB2312" w:cs="仿宋_GB2312"/>
          <w:kern w:val="2"/>
          <w:u w:val="single"/>
        </w:rPr>
        <w:t>2025</w:t>
      </w:r>
      <w:r>
        <w:rPr>
          <w:rFonts w:hint="eastAsia" w:ascii="仿宋_GB2312" w:hAnsi="仿宋_GB2312" w:eastAsia="仿宋_GB2312" w:cs="仿宋_GB2312"/>
          <w:kern w:val="2"/>
        </w:rPr>
        <w:t xml:space="preserve">年 </w:t>
      </w:r>
    </w:p>
    <w:p w14:paraId="3420F209">
      <w:pPr>
        <w:pStyle w:val="75"/>
        <w:shd w:val="clear" w:color="auto" w:fill="FFFFFF"/>
        <w:adjustRightInd w:val="0"/>
        <w:snapToGrid w:val="0"/>
        <w:spacing w:before="0" w:beforeAutospacing="0" w:after="0" w:afterAutospacing="0" w:line="360" w:lineRule="exact"/>
        <w:ind w:left="1260" w:leftChars="600"/>
        <w:rPr>
          <w:rFonts w:ascii="仿宋_GB2312" w:hAnsi="仿宋_GB2312" w:eastAsia="仿宋_GB2312" w:cs="仿宋_GB2312"/>
          <w:kern w:val="2"/>
        </w:rPr>
      </w:pP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u w:val="single"/>
          <w:lang w:val="en-US" w:eastAsia="zh-CN"/>
        </w:rPr>
        <w:t>6</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rPr>
        <w:t>月</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u w:val="single"/>
          <w:lang w:val="en-US" w:eastAsia="zh-CN"/>
        </w:rPr>
        <w:t>10</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rPr>
        <w:t xml:space="preserve">日 </w:t>
      </w:r>
      <w:r>
        <w:rPr>
          <w:rFonts w:hint="eastAsia" w:ascii="仿宋_GB2312" w:hAnsi="仿宋_GB2312" w:eastAsia="仿宋_GB2312" w:cs="仿宋_GB2312"/>
          <w:kern w:val="2"/>
          <w:u w:val="single"/>
        </w:rPr>
        <w:t xml:space="preserve"> 10 </w:t>
      </w:r>
      <w:r>
        <w:rPr>
          <w:rFonts w:hint="eastAsia" w:ascii="仿宋_GB2312" w:hAnsi="仿宋_GB2312" w:eastAsia="仿宋_GB2312" w:cs="仿宋_GB2312"/>
          <w:kern w:val="2"/>
        </w:rPr>
        <w:t>时前密封报送我公司。联系人：</w:t>
      </w:r>
      <w:r>
        <w:rPr>
          <w:rFonts w:hint="eastAsia" w:ascii="仿宋_GB2312" w:hAnsi="仿宋_GB2312" w:eastAsia="仿宋_GB2312" w:cs="仿宋_GB2312"/>
          <w:kern w:val="2"/>
          <w:u w:val="single"/>
        </w:rPr>
        <w:t>胡女士</w:t>
      </w:r>
      <w:r>
        <w:rPr>
          <w:rFonts w:hint="eastAsia" w:ascii="仿宋_GB2312" w:hAnsi="仿宋_GB2312" w:eastAsia="仿宋_GB2312" w:cs="仿宋_GB2312"/>
          <w:kern w:val="2"/>
        </w:rPr>
        <w:t>，电话：</w:t>
      </w:r>
      <w:r>
        <w:rPr>
          <w:rFonts w:hint="eastAsia" w:ascii="仿宋_GB2312" w:hAnsi="仿宋_GB2312" w:eastAsia="仿宋_GB2312" w:cs="仿宋_GB2312"/>
          <w:kern w:val="2"/>
          <w:u w:val="single"/>
        </w:rPr>
        <w:t xml:space="preserve">15198081690 </w:t>
      </w:r>
      <w:r>
        <w:rPr>
          <w:rFonts w:hint="eastAsia" w:ascii="仿宋_GB2312" w:hAnsi="仿宋_GB2312" w:eastAsia="仿宋_GB2312" w:cs="仿宋_GB2312"/>
          <w:kern w:val="2"/>
        </w:rPr>
        <w:t>，递交地址：</w:t>
      </w:r>
      <w:r>
        <w:rPr>
          <w:rFonts w:hint="eastAsia" w:ascii="仿宋_GB2312" w:hAnsi="仿宋_GB2312" w:eastAsia="仿宋_GB2312" w:cs="仿宋_GB2312"/>
          <w:kern w:val="2"/>
          <w:u w:val="single"/>
        </w:rPr>
        <w:t>成都市双流区顺兴大道一段189号蜀道云上城12栋22楼2206室</w:t>
      </w:r>
      <w:bookmarkEnd w:id="3"/>
      <w:r>
        <w:rPr>
          <w:rFonts w:hint="eastAsia" w:ascii="仿宋_GB2312" w:hAnsi="仿宋_GB2312" w:eastAsia="仿宋_GB2312" w:cs="仿宋_GB2312"/>
          <w:kern w:val="2"/>
        </w:rPr>
        <w:t>。</w:t>
      </w:r>
      <w:r>
        <w:rPr>
          <w:rFonts w:hint="eastAsia" w:ascii="仿宋_GB2312" w:hAnsi="仿宋_GB2312" w:eastAsia="仿宋_GB2312" w:cs="仿宋_GB2312"/>
          <w:b/>
          <w:kern w:val="2"/>
        </w:rPr>
        <w:t>报价文件必须胶装并加盖单位公章</w:t>
      </w:r>
      <w:r>
        <w:rPr>
          <w:rFonts w:hint="eastAsia" w:ascii="仿宋_GB2312" w:hAnsi="仿宋_GB2312" w:eastAsia="仿宋_GB2312" w:cs="仿宋_GB2312"/>
          <w:kern w:val="2"/>
        </w:rPr>
        <w:t>。</w:t>
      </w:r>
    </w:p>
    <w:bookmarkEnd w:id="2"/>
    <w:p w14:paraId="6EF22306">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（十）有以下情形之一的报价函均为无效报价。</w:t>
      </w:r>
    </w:p>
    <w:p w14:paraId="5A36A2A0">
      <w:pPr>
        <w:adjustRightInd w:val="0"/>
        <w:spacing w:line="440" w:lineRule="exact"/>
        <w:ind w:left="636" w:leftChars="303" w:firstLine="621" w:firstLineChars="259"/>
        <w:rPr>
          <w:rFonts w:ascii="仿宋_GB2312" w:hAnsi="仿宋_GB2312" w:eastAsia="仿宋_GB2312" w:cs="仿宋_GB2312"/>
          <w:sz w:val="24"/>
        </w:rPr>
      </w:pPr>
      <w:bookmarkStart w:id="4" w:name="_Hlk177028279"/>
      <w:r>
        <w:rPr>
          <w:rFonts w:hint="eastAsia" w:ascii="仿宋_GB2312" w:hAnsi="仿宋_GB2312" w:eastAsia="仿宋_GB2312" w:cs="仿宋_GB2312"/>
          <w:sz w:val="24"/>
        </w:rPr>
        <w:t>1.未按要求签署、盖章、装订和密封的报价函；</w:t>
      </w:r>
    </w:p>
    <w:p w14:paraId="7D09C14B">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2.未按照询价文件内容及要求编写；</w:t>
      </w:r>
    </w:p>
    <w:p w14:paraId="7A494D08">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3.超过含税总价最高限价的报价；</w:t>
      </w:r>
    </w:p>
    <w:p w14:paraId="691D3699">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4.未在规定时间递交至规定地点的报价函；</w:t>
      </w:r>
    </w:p>
    <w:p w14:paraId="20C46DD1">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5.单位负责人为同一人或存在控股、管理关系的不同单位，不得参加同一标段报价，否则，相关投标无效；</w:t>
      </w:r>
    </w:p>
    <w:p w14:paraId="2AB5A36C">
      <w:pPr>
        <w:pStyle w:val="75"/>
        <w:shd w:val="clear" w:color="auto" w:fill="FFFFFF"/>
        <w:adjustRightInd w:val="0"/>
        <w:spacing w:before="0" w:beforeAutospacing="0" w:after="0" w:afterAutospacing="0" w:line="440" w:lineRule="exact"/>
        <w:ind w:left="636" w:leftChars="303" w:firstLine="621" w:firstLineChars="259"/>
        <w:rPr>
          <w:rFonts w:ascii="仿宋_GB2312" w:hAnsi="仿宋_GB2312" w:eastAsia="仿宋_GB2312" w:cs="仿宋_GB2312"/>
        </w:rPr>
      </w:pPr>
      <w:r>
        <w:rPr>
          <w:rFonts w:hint="eastAsia" w:ascii="仿宋_GB2312" w:hAnsi="仿宋_GB2312" w:eastAsia="仿宋_GB2312" w:cs="仿宋_GB2312"/>
        </w:rPr>
        <w:t>6.相关法律法规规定的其他情形等。</w:t>
      </w:r>
    </w:p>
    <w:bookmarkEnd w:id="4"/>
    <w:p w14:paraId="154B3E6E">
      <w:pPr>
        <w:pStyle w:val="75"/>
        <w:shd w:val="clear" w:color="auto" w:fill="FFFFFF"/>
        <w:adjustRightInd w:val="0"/>
        <w:snapToGrid w:val="0"/>
        <w:spacing w:before="0" w:beforeAutospacing="0" w:after="0" w:afterAutospacing="0" w:line="360" w:lineRule="exact"/>
        <w:ind w:left="1020" w:leftChars="200" w:hanging="600" w:hangingChars="250"/>
        <w:rPr>
          <w:rFonts w:ascii="仿宋_GB2312" w:hAnsi="仿宋_GB2312" w:eastAsia="仿宋_GB2312" w:cs="仿宋_GB2312"/>
          <w:kern w:val="2"/>
        </w:rPr>
      </w:pPr>
      <w:r>
        <w:rPr>
          <w:rFonts w:hint="eastAsia" w:ascii="仿宋_GB2312" w:hAnsi="仿宋_GB2312" w:eastAsia="仿宋_GB2312" w:cs="仿宋_GB2312"/>
          <w:kern w:val="2"/>
        </w:rPr>
        <w:t>（十一）评审方式：经评审，在符合采购要求的前提下，确定有效最低报价（不含税价）的供应商为成交供应商。</w:t>
      </w:r>
    </w:p>
    <w:p w14:paraId="02A6AD6C">
      <w:pPr>
        <w:adjustRightIn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（十二）中标人应按下列要求提交履约担保：</w:t>
      </w:r>
    </w:p>
    <w:p w14:paraId="4F57C932">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履约担保的金额：预计含税合同总金额的5%</w:t>
      </w:r>
    </w:p>
    <w:p w14:paraId="75CE6F82">
      <w:pPr>
        <w:wordWrap w:val="0"/>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履约担保的形式：现金形式或履约保函形式（履约保函必须采用银行保函）。</w:t>
      </w:r>
    </w:p>
    <w:p w14:paraId="0B98D819">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银行保函应由支行及以上国有或股份制商业银行开具；现金必须由投标人基本账户中转出。</w:t>
      </w:r>
    </w:p>
    <w:p w14:paraId="01A6F2F4">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提交履约担保时间：在收到甲方中标文件10天内，签订合同协议书之前。</w:t>
      </w:r>
    </w:p>
    <w:p w14:paraId="7CC33322">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 xml:space="preserve">我公司基本账户信息如下： </w:t>
      </w:r>
    </w:p>
    <w:p w14:paraId="678D9DE8">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账户名称：四川省交通勘察设计研究院有限公司</w:t>
      </w:r>
    </w:p>
    <w:p w14:paraId="3EEFAAB8">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开户行：中国建设银行成都市第二支行</w:t>
      </w:r>
    </w:p>
    <w:p w14:paraId="0B751BBB">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账号：5100 1426 2080 5012 5148</w:t>
      </w:r>
    </w:p>
    <w:p w14:paraId="26B581F8">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（十三）我公司和供应商应当自工作通知单发出之日起30日内，根据询价文件和供应商的报价文件订立书面合同。</w:t>
      </w:r>
    </w:p>
    <w:p w14:paraId="1C47C0F1">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（十四）重新询价的情形：</w:t>
      </w:r>
    </w:p>
    <w:p w14:paraId="07C199B9">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r>
        <w:rPr>
          <w:rFonts w:hint="eastAsia" w:ascii="仿宋_GB2312" w:hAnsi="仿宋_GB2312" w:eastAsia="仿宋_GB2312" w:cs="仿宋_GB2312"/>
          <w:kern w:val="2"/>
        </w:rPr>
        <w:t xml:space="preserve">1、报价截止时间（同上）按时送达的报价文件不足三家； </w:t>
      </w:r>
    </w:p>
    <w:p w14:paraId="2932FC37">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r>
        <w:rPr>
          <w:rFonts w:hint="eastAsia" w:ascii="仿宋_GB2312" w:hAnsi="仿宋_GB2312" w:eastAsia="仿宋_GB2312" w:cs="仿宋_GB2312"/>
          <w:kern w:val="2"/>
        </w:rPr>
        <w:t>2、经评审后，最终有效报价不足三家；</w:t>
      </w:r>
    </w:p>
    <w:p w14:paraId="240291B0">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r>
        <w:rPr>
          <w:rFonts w:hint="eastAsia" w:ascii="仿宋_GB2312" w:hAnsi="仿宋_GB2312" w:eastAsia="仿宋_GB2312" w:cs="仿宋_GB2312"/>
          <w:kern w:val="2"/>
        </w:rPr>
        <w:t>3、中标供应商无故放弃中标，则对该项目重新进行询价采购。</w:t>
      </w:r>
    </w:p>
    <w:p w14:paraId="119BE043">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p>
    <w:p w14:paraId="23F71D38">
      <w:pPr>
        <w:spacing w:line="440" w:lineRule="exact"/>
        <w:ind w:firstLine="840" w:firstLineChars="350"/>
        <w:rPr>
          <w:rFonts w:ascii="仿宋_GB2312" w:hAnsi="宋体" w:eastAsia="仿宋_GB2312"/>
          <w:snapToGrid w:val="0"/>
          <w:kern w:val="0"/>
          <w:sz w:val="24"/>
        </w:rPr>
      </w:pPr>
      <w:r>
        <w:rPr>
          <w:rFonts w:hint="eastAsia" w:ascii="仿宋_GB2312" w:hAnsi="仿宋_GB2312" w:eastAsia="仿宋_GB2312" w:cs="仿宋_GB2312"/>
          <w:snapToGrid w:val="0"/>
          <w:kern w:val="0"/>
          <w:sz w:val="24"/>
          <w:szCs w:val="24"/>
        </w:rPr>
        <w:t>附件</w:t>
      </w:r>
      <w:bookmarkEnd w:id="0"/>
      <w:bookmarkStart w:id="5" w:name="_Hlk146639634"/>
      <w:r>
        <w:rPr>
          <w:rFonts w:hint="eastAsia" w:ascii="仿宋_GB2312" w:hAnsi="仿宋_GB2312" w:eastAsia="仿宋_GB2312" w:cs="仿宋_GB2312"/>
          <w:snapToGrid w:val="0"/>
          <w:kern w:val="0"/>
          <w:sz w:val="24"/>
          <w:szCs w:val="24"/>
        </w:rPr>
        <w:t>:</w:t>
      </w:r>
      <w:r>
        <w:rPr>
          <w:rFonts w:hint="eastAsia" w:ascii="仿宋_GB2312" w:hAnsi="宋体" w:eastAsia="仿宋_GB2312"/>
          <w:snapToGrid w:val="0"/>
          <w:kern w:val="0"/>
          <w:sz w:val="24"/>
        </w:rPr>
        <w:t>1.</w:t>
      </w:r>
      <w:r>
        <w:rPr>
          <w:rFonts w:eastAsia="仿宋_GB2312"/>
          <w:snapToGrid w:val="0"/>
          <w:kern w:val="0"/>
          <w:sz w:val="24"/>
          <w:szCs w:val="24"/>
        </w:rPr>
        <w:t>外部供应项目技术要求</w:t>
      </w:r>
    </w:p>
    <w:p w14:paraId="5A28ADA2">
      <w:pPr>
        <w:spacing w:line="440" w:lineRule="exact"/>
        <w:ind w:firstLine="1478" w:firstLineChars="616"/>
        <w:rPr>
          <w:rFonts w:ascii="仿宋_GB2312" w:hAnsi="宋体" w:eastAsia="仿宋_GB2312"/>
          <w:snapToGrid w:val="0"/>
          <w:kern w:val="0"/>
          <w:sz w:val="24"/>
        </w:rPr>
      </w:pPr>
      <w:r>
        <w:rPr>
          <w:rFonts w:hint="eastAsia" w:ascii="仿宋_GB2312" w:hAnsi="宋体" w:eastAsia="仿宋_GB2312"/>
          <w:snapToGrid w:val="0"/>
          <w:kern w:val="0"/>
          <w:sz w:val="24"/>
        </w:rPr>
        <w:t>2.银行保函模板</w:t>
      </w:r>
    </w:p>
    <w:p w14:paraId="6599F3D8">
      <w:pPr>
        <w:spacing w:line="440" w:lineRule="exact"/>
        <w:ind w:firstLine="1478" w:firstLineChars="616"/>
        <w:rPr>
          <w:rFonts w:ascii="仿宋_GB2312" w:hAnsi="宋体" w:eastAsia="仿宋_GB2312"/>
          <w:snapToGrid w:val="0"/>
          <w:kern w:val="0"/>
          <w:sz w:val="24"/>
        </w:rPr>
      </w:pPr>
      <w:r>
        <w:rPr>
          <w:rFonts w:hint="eastAsia" w:ascii="仿宋_GB2312" w:hAnsi="宋体" w:eastAsia="仿宋_GB2312"/>
          <w:snapToGrid w:val="0"/>
          <w:kern w:val="0"/>
          <w:sz w:val="24"/>
        </w:rPr>
        <w:t>3.报价文件模板</w:t>
      </w:r>
    </w:p>
    <w:p w14:paraId="5E2C970F">
      <w:pPr>
        <w:pStyle w:val="22"/>
        <w:spacing w:line="440" w:lineRule="exact"/>
        <w:ind w:left="0" w:leftChars="0" w:firstLine="1478" w:firstLineChars="616"/>
        <w:rPr>
          <w:rFonts w:ascii="仿宋_GB2312" w:hAnsi="宋体" w:eastAsia="仿宋_GB2312"/>
          <w:snapToGrid w:val="0"/>
          <w:kern w:val="0"/>
          <w:sz w:val="24"/>
        </w:rPr>
      </w:pPr>
      <w:r>
        <w:rPr>
          <w:rFonts w:hint="eastAsia" w:ascii="仿宋_GB2312" w:hAnsi="宋体" w:eastAsia="仿宋_GB2312"/>
          <w:snapToGrid w:val="0"/>
          <w:kern w:val="0"/>
          <w:sz w:val="24"/>
        </w:rPr>
        <w:t>4</w:t>
      </w:r>
      <w:r>
        <w:rPr>
          <w:rFonts w:ascii="仿宋_GB2312" w:hAnsi="宋体" w:eastAsia="仿宋_GB2312"/>
          <w:snapToGrid w:val="0"/>
          <w:kern w:val="0"/>
          <w:sz w:val="24"/>
        </w:rPr>
        <w:t>.</w:t>
      </w:r>
      <w:r>
        <w:rPr>
          <w:rFonts w:hint="eastAsia" w:ascii="仿宋_GB2312" w:hAnsi="宋体" w:eastAsia="仿宋_GB2312"/>
          <w:snapToGrid w:val="0"/>
          <w:kern w:val="0"/>
          <w:sz w:val="24"/>
        </w:rPr>
        <w:t>合同模板</w:t>
      </w:r>
    </w:p>
    <w:p w14:paraId="6FAC025F">
      <w:pPr>
        <w:pStyle w:val="22"/>
        <w:snapToGrid w:val="0"/>
        <w:spacing w:line="360" w:lineRule="exact"/>
        <w:ind w:left="319" w:firstLine="900" w:firstLineChars="375"/>
        <w:rPr>
          <w:rFonts w:ascii="仿宋_GB2312" w:hAnsi="仿宋_GB2312" w:eastAsia="仿宋_GB2312" w:cs="仿宋_GB2312"/>
          <w:snapToGrid w:val="0"/>
          <w:kern w:val="0"/>
          <w:sz w:val="24"/>
          <w:szCs w:val="24"/>
        </w:rPr>
      </w:pPr>
    </w:p>
    <w:p w14:paraId="34E3F43E">
      <w:pPr>
        <w:pStyle w:val="22"/>
        <w:snapToGrid w:val="0"/>
        <w:spacing w:line="360" w:lineRule="exact"/>
        <w:ind w:left="319" w:firstLine="900" w:firstLineChars="375"/>
        <w:rPr>
          <w:rFonts w:ascii="仿宋_GB2312" w:hAnsi="仿宋_GB2312" w:eastAsia="仿宋_GB2312" w:cs="仿宋_GB2312"/>
          <w:snapToGrid w:val="0"/>
          <w:kern w:val="0"/>
          <w:sz w:val="24"/>
          <w:szCs w:val="24"/>
        </w:rPr>
      </w:pPr>
    </w:p>
    <w:p w14:paraId="281DC092">
      <w:pPr>
        <w:pStyle w:val="22"/>
        <w:snapToGrid w:val="0"/>
        <w:spacing w:line="360" w:lineRule="exact"/>
        <w:ind w:left="319" w:firstLine="900" w:firstLineChars="375"/>
        <w:rPr>
          <w:rFonts w:ascii="仿宋_GB2312" w:hAnsi="仿宋_GB2312" w:eastAsia="仿宋_GB2312" w:cs="仿宋_GB2312"/>
          <w:snapToGrid w:val="0"/>
          <w:kern w:val="0"/>
          <w:sz w:val="24"/>
          <w:szCs w:val="24"/>
        </w:rPr>
      </w:pPr>
    </w:p>
    <w:bookmarkEnd w:id="5"/>
    <w:p w14:paraId="187176E9">
      <w:pPr>
        <w:adjustRightInd w:val="0"/>
        <w:snapToGrid w:val="0"/>
        <w:spacing w:line="3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四川省交通勘察设计研究院有限公司</w:t>
      </w:r>
    </w:p>
    <w:p w14:paraId="53EB8243">
      <w:pPr>
        <w:ind w:firstLine="240" w:firstLineChars="100"/>
        <w:rPr>
          <w:rFonts w:eastAsia="仿宋_GB2312"/>
          <w:snapToGrid w:val="0"/>
          <w:kern w:val="0"/>
          <w:sz w:val="24"/>
          <w:szCs w:val="24"/>
        </w:rPr>
      </w:pPr>
      <w:r>
        <w:rPr>
          <w:rFonts w:hint="eastAsia" w:ascii="仿宋_GB2312" w:hAnsi="仿宋_GB2312" w:eastAsia="仿宋_GB2312" w:cs="仿宋_GB2312"/>
          <w:sz w:val="24"/>
          <w:szCs w:val="24"/>
        </w:rPr>
        <w:t xml:space="preserve">                                       </w:t>
      </w:r>
      <w:bookmarkStart w:id="6" w:name="_Hlk99030917"/>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2025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6</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5</w:t>
      </w:r>
      <w:bookmarkStart w:id="11" w:name="_GoBack"/>
      <w:bookmarkEnd w:id="11"/>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bookmarkEnd w:id="6"/>
      <w:r>
        <w:rPr>
          <w:rFonts w:hint="eastAsia" w:ascii="仿宋_GB2312" w:hAnsi="仿宋_GB2312" w:eastAsia="仿宋_GB2312" w:cs="仿宋_GB2312"/>
          <w:sz w:val="24"/>
          <w:szCs w:val="24"/>
        </w:rPr>
        <w:br w:type="page"/>
      </w:r>
      <w:r>
        <w:rPr>
          <w:rFonts w:eastAsia="仿宋_GB2312"/>
          <w:snapToGrid w:val="0"/>
          <w:kern w:val="0"/>
          <w:sz w:val="24"/>
          <w:szCs w:val="24"/>
        </w:rPr>
        <w:t>外部供应项目技术要求</w:t>
      </w:r>
    </w:p>
    <w:p w14:paraId="0CF13855">
      <w:pPr>
        <w:rPr>
          <w:rFonts w:eastAsia="仿宋_GB2312"/>
          <w:snapToGrid w:val="0"/>
          <w:kern w:val="0"/>
          <w:sz w:val="24"/>
          <w:szCs w:val="24"/>
        </w:rPr>
      </w:pPr>
    </w:p>
    <w:p w14:paraId="1D0ACF40">
      <w:pPr>
        <w:widowControl/>
        <w:jc w:val="left"/>
        <w:rPr>
          <w:snapToGrid w:val="0"/>
          <w:kern w:val="0"/>
          <w:sz w:val="24"/>
          <w:szCs w:val="24"/>
        </w:rPr>
        <w:sectPr>
          <w:footerReference r:id="rId3" w:type="even"/>
          <w:pgSz w:w="11906" w:h="16838"/>
          <w:pgMar w:top="1440" w:right="1800" w:bottom="1440" w:left="1800" w:header="851" w:footer="992" w:gutter="0"/>
          <w:cols w:space="425" w:num="1"/>
          <w:docGrid w:type="lines" w:linePitch="312" w:charSpace="0"/>
        </w:sectPr>
      </w:pPr>
      <w:r>
        <w:drawing>
          <wp:inline distT="0" distB="0" distL="114300" distR="114300">
            <wp:extent cx="5273040" cy="746569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3040" cy="7465695"/>
                    </a:xfrm>
                    <a:prstGeom prst="rect">
                      <a:avLst/>
                    </a:prstGeom>
                    <a:noFill/>
                    <a:ln>
                      <a:noFill/>
                    </a:ln>
                  </pic:spPr>
                </pic:pic>
              </a:graphicData>
            </a:graphic>
          </wp:inline>
        </w:drawing>
      </w:r>
    </w:p>
    <w:p w14:paraId="42BD90D5">
      <w:pPr>
        <w:rPr>
          <w:rFonts w:ascii="仿宋_GB2312" w:eastAsia="仿宋_GB2312"/>
          <w:sz w:val="28"/>
          <w:szCs w:val="28"/>
        </w:rPr>
      </w:pPr>
      <w:r>
        <w:rPr>
          <w:rFonts w:hint="eastAsia" w:ascii="仿宋_GB2312" w:eastAsia="仿宋_GB2312"/>
          <w:sz w:val="28"/>
          <w:szCs w:val="28"/>
        </w:rPr>
        <w:t>银行保函模板</w:t>
      </w:r>
    </w:p>
    <w:p w14:paraId="7D6A1943">
      <w:pPr>
        <w:pStyle w:val="19"/>
        <w:adjustRightInd w:val="0"/>
        <w:snapToGrid w:val="0"/>
        <w:spacing w:before="0" w:beforeAutospacing="0" w:after="0" w:afterAutospacing="0" w:line="520" w:lineRule="exact"/>
        <w:ind w:left="4656" w:hanging="4656" w:hangingChars="1940"/>
        <w:jc w:val="center"/>
        <w:rPr>
          <w:rFonts w:ascii="仿宋_GB2312" w:eastAsia="仿宋_GB2312"/>
          <w:szCs w:val="20"/>
        </w:rPr>
      </w:pPr>
      <w:r>
        <w:rPr>
          <w:rFonts w:hint="eastAsia" w:ascii="仿宋_GB2312" w:eastAsia="仿宋_GB2312"/>
          <w:szCs w:val="20"/>
        </w:rPr>
        <w:t>（银行保函形式的履约担保适用）</w:t>
      </w:r>
    </w:p>
    <w:p w14:paraId="6A581008">
      <w:pPr>
        <w:snapToGrid w:val="0"/>
        <w:spacing w:before="312" w:beforeLines="100" w:after="156" w:afterLines="50" w:line="360" w:lineRule="auto"/>
        <w:rPr>
          <w:rFonts w:ascii="仿宋_GB2312" w:eastAsia="仿宋_GB2312"/>
          <w:sz w:val="24"/>
        </w:rPr>
      </w:pPr>
      <w:r>
        <w:rPr>
          <w:rFonts w:hint="eastAsia" w:ascii="仿宋_GB2312" w:eastAsia="仿宋_GB2312"/>
          <w:sz w:val="24"/>
          <w:u w:val="single"/>
        </w:rPr>
        <w:t>四川省交通勘察设计研究院有限公司</w:t>
      </w:r>
      <w:r>
        <w:rPr>
          <w:rFonts w:hint="eastAsia" w:ascii="仿宋_GB2312" w:eastAsia="仿宋_GB2312"/>
          <w:sz w:val="24"/>
        </w:rPr>
        <w:t>(招标人名称)</w:t>
      </w:r>
    </w:p>
    <w:p w14:paraId="4F6BE3F0">
      <w:pPr>
        <w:snapToGrid w:val="0"/>
        <w:spacing w:line="360" w:lineRule="auto"/>
        <w:ind w:firstLine="480" w:firstLineChars="200"/>
        <w:rPr>
          <w:rFonts w:ascii="仿宋_GB2312" w:eastAsia="仿宋_GB2312"/>
          <w:sz w:val="24"/>
        </w:rPr>
      </w:pPr>
      <w:r>
        <w:rPr>
          <w:rFonts w:hint="eastAsia" w:ascii="仿宋_GB2312" w:eastAsia="仿宋_GB2312"/>
          <w:sz w:val="24"/>
        </w:rPr>
        <w:t>鉴于</w:t>
      </w:r>
      <w:r>
        <w:rPr>
          <w:rFonts w:hint="eastAsia" w:ascii="仿宋_GB2312" w:eastAsia="仿宋_GB2312"/>
          <w:sz w:val="24"/>
          <w:u w:val="single"/>
        </w:rPr>
        <w:t>四川省交通勘察设计研究院有限公司(发包人名称)</w:t>
      </w:r>
      <w:r>
        <w:rPr>
          <w:rFonts w:hint="eastAsia" w:ascii="仿宋_GB2312" w:eastAsia="仿宋_GB2312"/>
          <w:sz w:val="24"/>
        </w:rPr>
        <w:t>(以下简称“发包人”)接受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(报价人名称)</w:t>
      </w:r>
      <w:r>
        <w:rPr>
          <w:rFonts w:hint="eastAsia" w:ascii="仿宋_GB2312" w:eastAsia="仿宋_GB2312"/>
          <w:sz w:val="24"/>
        </w:rPr>
        <w:t>(以下简称“报价人”)于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日参加</w:t>
      </w:r>
      <w:r>
        <w:rPr>
          <w:rFonts w:hint="eastAsia" w:ascii="仿宋_GB2312" w:eastAsia="仿宋_GB2312"/>
          <w:sz w:val="24"/>
          <w:u w:val="single"/>
        </w:rPr>
        <w:t xml:space="preserve">                  </w:t>
      </w:r>
      <w:r>
        <w:rPr>
          <w:rFonts w:hint="eastAsia" w:ascii="仿宋_GB2312" w:eastAsia="仿宋_GB2312"/>
          <w:sz w:val="24"/>
        </w:rPr>
        <w:t>的报价，我方愿意无条件地、不可撤销地就报价人履行与发包人订立的上述项目相关合同，向发包人提供见索即付的履约担保。</w:t>
      </w:r>
    </w:p>
    <w:p w14:paraId="791450A4">
      <w:pPr>
        <w:snapToGrid w:val="0"/>
        <w:spacing w:line="360" w:lineRule="auto"/>
        <w:ind w:firstLine="480" w:firstLineChars="200"/>
        <w:rPr>
          <w:rFonts w:ascii="仿宋_GB2312" w:eastAsia="仿宋_GB2312"/>
          <w:sz w:val="24"/>
        </w:rPr>
      </w:pPr>
      <w:r>
        <w:rPr>
          <w:rFonts w:hint="eastAsia" w:ascii="仿宋_GB2312" w:eastAsia="仿宋_GB2312"/>
          <w:sz w:val="24"/>
        </w:rPr>
        <w:t>1.担保金额人民币（大写）：</w:t>
      </w:r>
      <w:r>
        <w:rPr>
          <w:rFonts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w:t>
      </w:r>
    </w:p>
    <w:p w14:paraId="1B669758">
      <w:pPr>
        <w:snapToGrid w:val="0"/>
        <w:spacing w:line="360" w:lineRule="auto"/>
        <w:ind w:firstLine="480" w:firstLineChars="200"/>
        <w:rPr>
          <w:rFonts w:ascii="仿宋_GB2312" w:eastAsia="仿宋_GB2312"/>
          <w:sz w:val="24"/>
        </w:rPr>
      </w:pPr>
      <w:r>
        <w:rPr>
          <w:rFonts w:hint="eastAsia" w:ascii="仿宋_GB2312" w:eastAsia="仿宋_GB2312"/>
          <w:sz w:val="24"/>
        </w:rPr>
        <w:t>2.担保有效期：自发包人与报价人签订的合同生效之日起生效，至</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p>
    <w:p w14:paraId="49C8D6DF">
      <w:pPr>
        <w:snapToGrid w:val="0"/>
        <w:spacing w:line="360" w:lineRule="auto"/>
        <w:rPr>
          <w:rFonts w:ascii="仿宋_GB2312" w:eastAsia="仿宋_GB2312"/>
          <w:sz w:val="24"/>
        </w:rPr>
      </w:pP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日止（勘察人承诺在发包人验证最后一批劳务成果前银行保函的有效性）。</w:t>
      </w:r>
    </w:p>
    <w:p w14:paraId="38E802ED">
      <w:pPr>
        <w:snapToGrid w:val="0"/>
        <w:spacing w:line="360" w:lineRule="auto"/>
        <w:ind w:firstLine="480" w:firstLineChars="200"/>
        <w:rPr>
          <w:rFonts w:ascii="仿宋_GB2312" w:eastAsia="仿宋_GB2312"/>
          <w:sz w:val="24"/>
        </w:rPr>
      </w:pPr>
      <w:r>
        <w:rPr>
          <w:rFonts w:hint="eastAsia" w:ascii="仿宋_GB2312" w:eastAsia="仿宋_GB2312"/>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37C516BD">
      <w:pPr>
        <w:snapToGrid w:val="0"/>
        <w:spacing w:line="360" w:lineRule="auto"/>
        <w:ind w:firstLine="480" w:firstLineChars="200"/>
        <w:rPr>
          <w:rFonts w:ascii="仿宋_GB2312" w:eastAsia="仿宋_GB2312"/>
          <w:sz w:val="24"/>
        </w:rPr>
      </w:pPr>
      <w:r>
        <w:rPr>
          <w:rFonts w:hint="eastAsia" w:ascii="仿宋_GB2312" w:eastAsia="仿宋_GB2312"/>
          <w:sz w:val="24"/>
        </w:rPr>
        <w:t>4.发包人和报价人变更合同时，无论我方是否收到该变更，我方承担本担保规定的义务不变。</w:t>
      </w:r>
    </w:p>
    <w:p w14:paraId="1F0625EE">
      <w:pPr>
        <w:snapToGrid w:val="0"/>
        <w:spacing w:line="360" w:lineRule="auto"/>
        <w:ind w:firstLine="2520" w:firstLineChars="1050"/>
        <w:rPr>
          <w:rFonts w:ascii="仿宋_GB2312" w:eastAsia="仿宋_GB2312"/>
          <w:sz w:val="24"/>
        </w:rPr>
      </w:pPr>
      <w:r>
        <w:rPr>
          <w:rFonts w:hint="eastAsia" w:ascii="仿宋_GB2312" w:eastAsia="仿宋_GB2312"/>
          <w:sz w:val="24"/>
        </w:rPr>
        <w:t>担保人名称：</w:t>
      </w:r>
      <w:r>
        <w:rPr>
          <w:rFonts w:hint="eastAsia" w:ascii="仿宋_GB2312" w:eastAsia="仿宋_GB2312"/>
          <w:sz w:val="24"/>
          <w:u w:val="single"/>
        </w:rPr>
        <w:t xml:space="preserve">                         (盖单位章)</w:t>
      </w:r>
    </w:p>
    <w:p w14:paraId="49E9EA0F">
      <w:pPr>
        <w:snapToGrid w:val="0"/>
        <w:spacing w:line="360" w:lineRule="auto"/>
        <w:ind w:firstLine="2520" w:firstLineChars="1050"/>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14:paraId="2DC5300B">
      <w:pPr>
        <w:snapToGrid w:val="0"/>
        <w:spacing w:line="360" w:lineRule="auto"/>
        <w:ind w:firstLine="2520" w:firstLineChars="1050"/>
        <w:rPr>
          <w:rFonts w:ascii="仿宋_GB2312" w:eastAsia="仿宋_GB2312"/>
          <w:sz w:val="24"/>
        </w:rPr>
      </w:pPr>
      <w:r>
        <w:rPr>
          <w:rFonts w:hint="eastAsia" w:ascii="仿宋_GB2312" w:eastAsia="仿宋_GB2312"/>
          <w:sz w:val="24"/>
        </w:rPr>
        <w:t>单位地址：</w:t>
      </w:r>
      <w:r>
        <w:rPr>
          <w:rFonts w:hint="eastAsia" w:ascii="仿宋_GB2312" w:eastAsia="仿宋_GB2312"/>
          <w:sz w:val="24"/>
          <w:u w:val="single"/>
        </w:rPr>
        <w:t xml:space="preserve">                                      </w:t>
      </w:r>
      <w:r>
        <w:rPr>
          <w:rFonts w:hint="eastAsia" w:ascii="仿宋_GB2312" w:eastAsia="仿宋_GB2312"/>
          <w:sz w:val="24"/>
        </w:rPr>
        <w:t xml:space="preserve"> </w:t>
      </w:r>
    </w:p>
    <w:p w14:paraId="00D0F3BC">
      <w:pPr>
        <w:snapToGrid w:val="0"/>
        <w:spacing w:line="360" w:lineRule="auto"/>
        <w:ind w:firstLine="2520" w:firstLineChars="1050"/>
        <w:rPr>
          <w:rFonts w:ascii="仿宋_GB2312" w:eastAsia="仿宋_GB2312"/>
          <w:sz w:val="24"/>
          <w:u w:val="single"/>
        </w:rPr>
      </w:pPr>
      <w:r>
        <w:rPr>
          <w:rFonts w:hint="eastAsia" w:ascii="仿宋_GB2312" w:eastAsia="仿宋_GB2312"/>
          <w:sz w:val="24"/>
        </w:rPr>
        <w:t>邮政编码：</w:t>
      </w:r>
      <w:r>
        <w:rPr>
          <w:rFonts w:hint="eastAsia" w:ascii="仿宋_GB2312" w:eastAsia="仿宋_GB2312"/>
          <w:sz w:val="24"/>
          <w:u w:val="single"/>
        </w:rPr>
        <w:t xml:space="preserve">                                      </w:t>
      </w:r>
    </w:p>
    <w:p w14:paraId="6B232FB0">
      <w:pPr>
        <w:snapToGrid w:val="0"/>
        <w:spacing w:line="360" w:lineRule="auto"/>
        <w:ind w:firstLine="2520" w:firstLineChars="1050"/>
        <w:rPr>
          <w:rFonts w:ascii="仿宋_GB2312" w:eastAsia="仿宋_GB2312"/>
          <w:sz w:val="24"/>
          <w:u w:val="single"/>
        </w:rPr>
      </w:pPr>
      <w:r>
        <w:rPr>
          <w:rFonts w:hint="eastAsia" w:ascii="仿宋_GB2312" w:eastAsia="仿宋_GB2312"/>
          <w:sz w:val="24"/>
        </w:rPr>
        <w:t>电    话：</w:t>
      </w:r>
      <w:r>
        <w:rPr>
          <w:rFonts w:hint="eastAsia" w:ascii="仿宋_GB2312" w:eastAsia="仿宋_GB2312"/>
          <w:sz w:val="24"/>
          <w:u w:val="single"/>
        </w:rPr>
        <w:t xml:space="preserve">                                          </w:t>
      </w:r>
    </w:p>
    <w:p w14:paraId="3FE95C37">
      <w:pPr>
        <w:snapToGrid w:val="0"/>
        <w:spacing w:line="360" w:lineRule="auto"/>
        <w:ind w:firstLine="2520" w:firstLineChars="1050"/>
        <w:rPr>
          <w:rFonts w:ascii="仿宋_GB2312" w:eastAsia="仿宋_GB2312"/>
          <w:sz w:val="24"/>
          <w:u w:val="single"/>
        </w:rPr>
      </w:pPr>
      <w:r>
        <w:rPr>
          <w:rFonts w:hint="eastAsia" w:ascii="仿宋_GB2312" w:eastAsia="仿宋_GB2312"/>
          <w:sz w:val="24"/>
        </w:rPr>
        <w:t>传    真：</w:t>
      </w:r>
      <w:r>
        <w:rPr>
          <w:rFonts w:hint="eastAsia" w:ascii="仿宋_GB2312" w:eastAsia="仿宋_GB2312"/>
          <w:sz w:val="24"/>
          <w:u w:val="single"/>
        </w:rPr>
        <w:t xml:space="preserve">                                          </w:t>
      </w:r>
    </w:p>
    <w:p w14:paraId="768370EF">
      <w:pPr>
        <w:snapToGrid w:val="0"/>
        <w:spacing w:line="360" w:lineRule="auto"/>
        <w:ind w:firstLine="2520" w:firstLineChars="1050"/>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14:paraId="2B90818D">
      <w:pPr>
        <w:snapToGrid w:val="0"/>
        <w:rPr>
          <w:rFonts w:ascii="仿宋_GB2312" w:eastAsia="仿宋_GB2312"/>
        </w:rPr>
      </w:pPr>
    </w:p>
    <w:p w14:paraId="61C6DA75">
      <w:pPr>
        <w:snapToGrid w:val="0"/>
        <w:rPr>
          <w:rFonts w:ascii="仿宋_GB2312" w:eastAsia="仿宋_GB2312"/>
        </w:rPr>
      </w:pPr>
    </w:p>
    <w:p w14:paraId="24B7AB59">
      <w:pPr>
        <w:snapToGrid w:val="0"/>
        <w:rPr>
          <w:rFonts w:ascii="仿宋_GB2312" w:eastAsia="仿宋_GB2312"/>
        </w:rPr>
      </w:pPr>
      <w:r>
        <w:rPr>
          <w:rFonts w:hint="eastAsia" w:ascii="仿宋_GB2312" w:eastAsia="仿宋_GB2312"/>
        </w:rPr>
        <w:t>注：银行保函应采用招标文件提供的格式，若采用银行自有格式，其提交的银行保函内容不得对</w:t>
      </w:r>
      <w:r>
        <w:rPr>
          <w:rFonts w:hint="eastAsia" w:ascii="仿宋_GB2312" w:eastAsia="仿宋_GB2312"/>
          <w:b/>
          <w:bCs/>
        </w:rPr>
        <w:t>担保金额</w:t>
      </w:r>
      <w:r>
        <w:rPr>
          <w:rFonts w:hint="eastAsia" w:ascii="仿宋_GB2312" w:eastAsia="仿宋_GB2312"/>
        </w:rPr>
        <w:t>、</w:t>
      </w:r>
      <w:r>
        <w:rPr>
          <w:rFonts w:hint="eastAsia" w:ascii="仿宋_GB2312" w:eastAsia="仿宋_GB2312"/>
          <w:b/>
          <w:bCs/>
        </w:rPr>
        <w:t>担保范围</w:t>
      </w:r>
      <w:r>
        <w:rPr>
          <w:rFonts w:hint="eastAsia" w:ascii="仿宋_GB2312" w:eastAsia="仿宋_GB2312"/>
        </w:rPr>
        <w:t>、</w:t>
      </w:r>
      <w:r>
        <w:rPr>
          <w:rFonts w:hint="eastAsia" w:ascii="仿宋_GB2312" w:eastAsia="仿宋_GB2312"/>
          <w:b/>
          <w:bCs/>
        </w:rPr>
        <w:t>担保期限</w:t>
      </w:r>
      <w:r>
        <w:rPr>
          <w:rFonts w:hint="eastAsia" w:ascii="仿宋_GB2312" w:eastAsia="仿宋_GB2312"/>
        </w:rPr>
        <w:t>、</w:t>
      </w:r>
      <w:r>
        <w:rPr>
          <w:rFonts w:hint="eastAsia" w:ascii="仿宋_GB2312" w:eastAsia="仿宋_GB2312"/>
          <w:b/>
          <w:bCs/>
        </w:rPr>
        <w:t>担保内容</w:t>
      </w:r>
      <w:r>
        <w:rPr>
          <w:rFonts w:hint="eastAsia" w:ascii="仿宋_GB2312" w:eastAsia="仿宋_GB2312"/>
        </w:rPr>
        <w:t>做出降低担保效力的实质性修改。</w:t>
      </w:r>
      <w:r>
        <w:rPr>
          <w:rFonts w:hint="eastAsia" w:ascii="仿宋_GB2312" w:eastAsia="仿宋_GB2312"/>
          <w:b/>
          <w:bCs/>
        </w:rPr>
        <w:t>履约保函有效期应当不低于上述正文中的担保有效期</w:t>
      </w:r>
      <w:r>
        <w:rPr>
          <w:rFonts w:hint="eastAsia" w:ascii="仿宋_GB2312" w:eastAsia="仿宋_GB2312"/>
        </w:rPr>
        <w:t>。</w:t>
      </w:r>
    </w:p>
    <w:p w14:paraId="35353DF0">
      <w:pPr>
        <w:adjustRightInd w:val="0"/>
        <w:spacing w:line="440" w:lineRule="exact"/>
        <w:ind w:firstLine="480"/>
        <w:rPr>
          <w:rFonts w:hAnsi="宋体"/>
          <w:snapToGrid w:val="0"/>
          <w:kern w:val="0"/>
          <w:sz w:val="28"/>
          <w:szCs w:val="28"/>
        </w:rPr>
      </w:pPr>
    </w:p>
    <w:p w14:paraId="5695FA66">
      <w:pPr>
        <w:rPr>
          <w:rFonts w:ascii="仿宋_GB2312" w:hAnsi="仿宋_GB2312" w:eastAsia="仿宋_GB2312" w:cs="仿宋_GB2312"/>
          <w:sz w:val="24"/>
          <w:szCs w:val="24"/>
        </w:rPr>
      </w:pPr>
    </w:p>
    <w:p w14:paraId="52B40F91">
      <w:pPr>
        <w:rPr>
          <w:rFonts w:ascii="仿宋_GB2312" w:hAnsi="仿宋_GB2312" w:eastAsia="仿宋_GB2312" w:cs="仿宋_GB2312"/>
          <w:sz w:val="24"/>
          <w:szCs w:val="24"/>
        </w:rPr>
        <w:sectPr>
          <w:headerReference r:id="rId4" w:type="default"/>
          <w:pgSz w:w="11906" w:h="16838"/>
          <w:pgMar w:top="1440" w:right="1800" w:bottom="1440" w:left="1800" w:header="851" w:footer="992" w:gutter="0"/>
          <w:cols w:space="425" w:num="1"/>
          <w:docGrid w:type="lines" w:linePitch="312" w:charSpace="0"/>
        </w:sectPr>
      </w:pPr>
    </w:p>
    <w:p w14:paraId="60C618D2">
      <w:pPr>
        <w:spacing w:line="440" w:lineRule="exact"/>
        <w:jc w:val="left"/>
        <w:rPr>
          <w:b/>
          <w:bCs/>
          <w:kern w:val="0"/>
          <w:sz w:val="24"/>
          <w:szCs w:val="24"/>
          <w:u w:val="single"/>
        </w:rPr>
      </w:pPr>
      <w:r>
        <w:rPr>
          <w:rFonts w:hint="eastAsia" w:ascii="仿宋_GB2312" w:hAnsi="宋体" w:eastAsia="仿宋_GB2312"/>
          <w:snapToGrid w:val="0"/>
          <w:kern w:val="0"/>
          <w:sz w:val="24"/>
        </w:rPr>
        <w:t>报价文件模板</w:t>
      </w:r>
    </w:p>
    <w:p w14:paraId="2AB326C1">
      <w:pPr>
        <w:spacing w:line="440" w:lineRule="exact"/>
        <w:jc w:val="center"/>
        <w:rPr>
          <w:b/>
          <w:bCs/>
          <w:kern w:val="0"/>
          <w:sz w:val="24"/>
          <w:szCs w:val="24"/>
          <w:u w:val="single"/>
        </w:rPr>
      </w:pPr>
    </w:p>
    <w:p w14:paraId="35E27442">
      <w:pPr>
        <w:spacing w:line="440" w:lineRule="exact"/>
        <w:jc w:val="center"/>
        <w:rPr>
          <w:b/>
          <w:bCs/>
          <w:kern w:val="0"/>
          <w:sz w:val="24"/>
          <w:szCs w:val="24"/>
          <w:u w:val="single"/>
        </w:rPr>
      </w:pPr>
    </w:p>
    <w:p w14:paraId="5CA8E3B3">
      <w:pPr>
        <w:jc w:val="center"/>
        <w:rPr>
          <w:sz w:val="24"/>
          <w:szCs w:val="24"/>
        </w:rPr>
      </w:pPr>
      <w:r>
        <w:rPr>
          <w:rFonts w:hint="eastAsia" w:eastAsia="仿宋_GB2312"/>
          <w:snapToGrid w:val="0"/>
          <w:sz w:val="36"/>
          <w:szCs w:val="36"/>
          <w:u w:val="single"/>
        </w:rPr>
        <w:t>攀枝花至盐源高速公路JQ11等8处弃土场稳定性评估和溃坝动力模拟分析报告编制</w:t>
      </w:r>
    </w:p>
    <w:p w14:paraId="56343998">
      <w:pPr>
        <w:rPr>
          <w:sz w:val="24"/>
          <w:szCs w:val="24"/>
        </w:rPr>
      </w:pPr>
    </w:p>
    <w:p w14:paraId="2C9267D1">
      <w:pPr>
        <w:rPr>
          <w:sz w:val="24"/>
          <w:szCs w:val="24"/>
        </w:rPr>
      </w:pPr>
    </w:p>
    <w:p w14:paraId="07A59079">
      <w:pPr>
        <w:rPr>
          <w:sz w:val="84"/>
          <w:szCs w:val="84"/>
        </w:rPr>
      </w:pPr>
    </w:p>
    <w:p w14:paraId="75A439BC">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报</w:t>
      </w:r>
    </w:p>
    <w:p w14:paraId="3847E1F3">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价</w:t>
      </w:r>
    </w:p>
    <w:p w14:paraId="38B3FC79">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文</w:t>
      </w:r>
    </w:p>
    <w:p w14:paraId="6BE97596">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件</w:t>
      </w:r>
    </w:p>
    <w:p w14:paraId="7650EE34">
      <w:pPr>
        <w:rPr>
          <w:sz w:val="24"/>
          <w:szCs w:val="24"/>
        </w:rPr>
      </w:pPr>
    </w:p>
    <w:p w14:paraId="19CF44B1">
      <w:pPr>
        <w:rPr>
          <w:sz w:val="24"/>
          <w:szCs w:val="24"/>
        </w:rPr>
      </w:pPr>
    </w:p>
    <w:p w14:paraId="3F8B0142">
      <w:pPr>
        <w:rPr>
          <w:sz w:val="24"/>
          <w:szCs w:val="24"/>
        </w:rPr>
      </w:pPr>
    </w:p>
    <w:p w14:paraId="52BC1B57">
      <w:pPr>
        <w:rPr>
          <w:sz w:val="32"/>
          <w:szCs w:val="32"/>
        </w:rPr>
      </w:pPr>
    </w:p>
    <w:p w14:paraId="1571B4B2">
      <w:pPr>
        <w:ind w:firstLine="2080" w:firstLineChars="650"/>
        <w:rPr>
          <w:rFonts w:eastAsia="仿宋_GB2312"/>
          <w:sz w:val="32"/>
          <w:szCs w:val="32"/>
          <w:u w:val="single"/>
        </w:rPr>
      </w:pPr>
      <w:r>
        <w:rPr>
          <w:rFonts w:eastAsia="仿宋_GB2312"/>
          <w:sz w:val="32"/>
          <w:szCs w:val="32"/>
        </w:rPr>
        <w:t>报价单位：</w:t>
      </w:r>
      <w:r>
        <w:rPr>
          <w:rFonts w:eastAsia="仿宋_GB2312"/>
          <w:sz w:val="32"/>
          <w:szCs w:val="32"/>
          <w:u w:val="single"/>
        </w:rPr>
        <w:t xml:space="preserve">                   </w:t>
      </w:r>
      <w:r>
        <w:rPr>
          <w:rFonts w:eastAsia="仿宋_GB2312"/>
          <w:sz w:val="32"/>
          <w:szCs w:val="32"/>
        </w:rPr>
        <w:t>（盖章）</w:t>
      </w:r>
    </w:p>
    <w:p w14:paraId="462DCD35">
      <w:pPr>
        <w:pStyle w:val="22"/>
        <w:ind w:left="0" w:leftChars="0" w:firstLine="0" w:firstLineChars="0"/>
        <w:rPr>
          <w:rFonts w:ascii="Times New Roman" w:hAnsi="Times New Roman"/>
          <w:sz w:val="32"/>
          <w:szCs w:val="32"/>
        </w:rPr>
      </w:pPr>
      <w:r>
        <w:rPr>
          <w:rFonts w:ascii="Times New Roman" w:hAnsi="Times New Roman" w:eastAsia="仿宋_GB2312"/>
          <w:sz w:val="32"/>
          <w:szCs w:val="32"/>
        </w:rPr>
        <w:t xml:space="preserve">             日  期：</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14:paraId="66263B19">
      <w:pPr>
        <w:widowControl/>
        <w:jc w:val="left"/>
        <w:rPr>
          <w:rFonts w:eastAsia="黑体"/>
          <w:sz w:val="24"/>
          <w:szCs w:val="24"/>
        </w:rPr>
      </w:pPr>
      <w:r>
        <w:rPr>
          <w:rFonts w:eastAsia="黑体"/>
          <w:sz w:val="24"/>
          <w:szCs w:val="24"/>
        </w:rPr>
        <w:br w:type="page"/>
      </w:r>
    </w:p>
    <w:p w14:paraId="63B62DE8">
      <w:pPr>
        <w:spacing w:before="312" w:beforeLines="100" w:after="156" w:afterLines="50" w:line="400" w:lineRule="atLeast"/>
        <w:jc w:val="center"/>
        <w:rPr>
          <w:rFonts w:eastAsia="黑体"/>
          <w:sz w:val="24"/>
          <w:szCs w:val="24"/>
        </w:rPr>
      </w:pPr>
    </w:p>
    <w:p w14:paraId="5F0C18D6">
      <w:pPr>
        <w:widowControl/>
        <w:jc w:val="center"/>
        <w:rPr>
          <w:snapToGrid w:val="0"/>
          <w:kern w:val="0"/>
          <w:sz w:val="32"/>
          <w:szCs w:val="32"/>
        </w:rPr>
      </w:pPr>
      <w:r>
        <w:rPr>
          <w:snapToGrid w:val="0"/>
          <w:kern w:val="0"/>
          <w:sz w:val="32"/>
          <w:szCs w:val="32"/>
        </w:rPr>
        <w:t>目录</w:t>
      </w:r>
    </w:p>
    <w:p w14:paraId="6E21B7BC">
      <w:pPr>
        <w:snapToGrid w:val="0"/>
        <w:spacing w:line="360" w:lineRule="auto"/>
        <w:ind w:right="-22"/>
        <w:rPr>
          <w:rFonts w:eastAsia="仿宋_GB2312"/>
          <w:sz w:val="24"/>
          <w:szCs w:val="24"/>
        </w:rPr>
      </w:pPr>
      <w:r>
        <w:rPr>
          <w:rFonts w:eastAsia="仿宋_GB2312"/>
          <w:sz w:val="24"/>
          <w:szCs w:val="24"/>
        </w:rPr>
        <w:t>一、 报价函…………………………………………………………………(     )</w:t>
      </w:r>
    </w:p>
    <w:p w14:paraId="1E929A04">
      <w:pPr>
        <w:snapToGrid w:val="0"/>
        <w:spacing w:line="360" w:lineRule="auto"/>
        <w:ind w:right="-22"/>
        <w:rPr>
          <w:rFonts w:eastAsia="仿宋_GB2312"/>
          <w:sz w:val="24"/>
          <w:szCs w:val="24"/>
        </w:rPr>
      </w:pPr>
      <w:r>
        <w:rPr>
          <w:rFonts w:eastAsia="仿宋_GB2312"/>
          <w:sz w:val="24"/>
          <w:szCs w:val="24"/>
        </w:rPr>
        <w:t>二、 法定代表人身份证明及授权委托书…………………………………(     )</w:t>
      </w:r>
    </w:p>
    <w:p w14:paraId="792B4286">
      <w:pPr>
        <w:snapToGrid w:val="0"/>
        <w:spacing w:line="360" w:lineRule="auto"/>
        <w:ind w:right="-22"/>
        <w:rPr>
          <w:rFonts w:eastAsia="仿宋_GB2312"/>
          <w:sz w:val="24"/>
          <w:szCs w:val="24"/>
        </w:rPr>
      </w:pPr>
      <w:r>
        <w:rPr>
          <w:rFonts w:eastAsia="仿宋_GB2312"/>
          <w:sz w:val="24"/>
          <w:szCs w:val="24"/>
        </w:rPr>
        <w:t>三、 供应商证明材料………………………………………………………(     )</w:t>
      </w:r>
    </w:p>
    <w:p w14:paraId="0BA3FBEE">
      <w:pPr>
        <w:snapToGrid w:val="0"/>
        <w:spacing w:line="360" w:lineRule="auto"/>
        <w:ind w:right="-22"/>
        <w:rPr>
          <w:rFonts w:eastAsia="仿宋_GB2312"/>
          <w:sz w:val="24"/>
          <w:szCs w:val="24"/>
        </w:rPr>
      </w:pPr>
      <w:r>
        <w:rPr>
          <w:rFonts w:eastAsia="仿宋_GB2312"/>
          <w:sz w:val="24"/>
          <w:szCs w:val="24"/>
        </w:rPr>
        <w:t>四、 其他……………………………………………………………………(     )</w:t>
      </w:r>
    </w:p>
    <w:p w14:paraId="2D0486A5">
      <w:pPr>
        <w:pStyle w:val="7"/>
      </w:pPr>
    </w:p>
    <w:p w14:paraId="21AE2FBA">
      <w:pPr>
        <w:snapToGrid w:val="0"/>
        <w:spacing w:line="360" w:lineRule="auto"/>
        <w:ind w:right="-22"/>
        <w:rPr>
          <w:rFonts w:eastAsia="仿宋_GB2312"/>
          <w:sz w:val="24"/>
          <w:szCs w:val="24"/>
        </w:rPr>
      </w:pPr>
    </w:p>
    <w:p w14:paraId="3269A67F">
      <w:pPr>
        <w:snapToGrid w:val="0"/>
        <w:spacing w:line="360" w:lineRule="auto"/>
        <w:ind w:right="-22"/>
        <w:rPr>
          <w:rFonts w:eastAsia="仿宋_GB2312"/>
          <w:sz w:val="24"/>
          <w:szCs w:val="24"/>
        </w:rPr>
      </w:pPr>
    </w:p>
    <w:p w14:paraId="1A252B42">
      <w:pPr>
        <w:snapToGrid w:val="0"/>
        <w:spacing w:line="360" w:lineRule="auto"/>
        <w:ind w:right="-22"/>
        <w:rPr>
          <w:rFonts w:eastAsia="仿宋_GB2312"/>
          <w:sz w:val="24"/>
          <w:szCs w:val="24"/>
        </w:rPr>
      </w:pPr>
    </w:p>
    <w:p w14:paraId="1EF943A4">
      <w:pPr>
        <w:snapToGrid w:val="0"/>
        <w:spacing w:line="360" w:lineRule="auto"/>
        <w:ind w:right="-22"/>
        <w:rPr>
          <w:rFonts w:eastAsia="仿宋_GB2312"/>
          <w:sz w:val="24"/>
          <w:szCs w:val="24"/>
        </w:rPr>
      </w:pPr>
    </w:p>
    <w:p w14:paraId="5BA4BB0D">
      <w:pPr>
        <w:snapToGrid w:val="0"/>
        <w:spacing w:line="360" w:lineRule="auto"/>
        <w:ind w:right="-22"/>
        <w:rPr>
          <w:rFonts w:eastAsia="仿宋_GB2312"/>
          <w:sz w:val="24"/>
          <w:szCs w:val="24"/>
        </w:rPr>
      </w:pPr>
    </w:p>
    <w:p w14:paraId="59A8BEB5">
      <w:pPr>
        <w:snapToGrid w:val="0"/>
        <w:spacing w:line="360" w:lineRule="auto"/>
        <w:ind w:right="-22"/>
        <w:rPr>
          <w:rFonts w:eastAsia="仿宋_GB2312"/>
          <w:sz w:val="24"/>
          <w:szCs w:val="24"/>
        </w:rPr>
      </w:pPr>
    </w:p>
    <w:p w14:paraId="39A90F8E">
      <w:pPr>
        <w:snapToGrid w:val="0"/>
        <w:spacing w:line="360" w:lineRule="auto"/>
        <w:ind w:right="-22"/>
        <w:rPr>
          <w:rFonts w:eastAsia="仿宋_GB2312"/>
          <w:sz w:val="24"/>
          <w:szCs w:val="24"/>
        </w:rPr>
      </w:pPr>
    </w:p>
    <w:p w14:paraId="25C68059">
      <w:pPr>
        <w:snapToGrid w:val="0"/>
        <w:spacing w:line="360" w:lineRule="auto"/>
        <w:ind w:right="-22"/>
        <w:rPr>
          <w:rFonts w:eastAsia="仿宋_GB2312"/>
          <w:sz w:val="24"/>
          <w:szCs w:val="24"/>
        </w:rPr>
      </w:pPr>
    </w:p>
    <w:p w14:paraId="4B368DEE">
      <w:pPr>
        <w:snapToGrid w:val="0"/>
        <w:spacing w:line="360" w:lineRule="auto"/>
        <w:ind w:right="-22"/>
        <w:rPr>
          <w:rFonts w:eastAsia="仿宋_GB2312"/>
          <w:sz w:val="24"/>
          <w:szCs w:val="24"/>
        </w:rPr>
      </w:pPr>
    </w:p>
    <w:p w14:paraId="06EFB4C3">
      <w:pPr>
        <w:snapToGrid w:val="0"/>
        <w:spacing w:line="360" w:lineRule="auto"/>
        <w:ind w:right="-22"/>
        <w:rPr>
          <w:rFonts w:eastAsia="仿宋_GB2312"/>
          <w:sz w:val="24"/>
          <w:szCs w:val="24"/>
        </w:rPr>
      </w:pPr>
    </w:p>
    <w:p w14:paraId="34F65363">
      <w:pPr>
        <w:snapToGrid w:val="0"/>
        <w:spacing w:line="360" w:lineRule="auto"/>
        <w:ind w:right="-22"/>
        <w:rPr>
          <w:rFonts w:eastAsia="仿宋_GB2312"/>
          <w:sz w:val="24"/>
          <w:szCs w:val="24"/>
        </w:rPr>
      </w:pPr>
    </w:p>
    <w:p w14:paraId="68E9DFCB">
      <w:pPr>
        <w:snapToGrid w:val="0"/>
        <w:spacing w:line="360" w:lineRule="auto"/>
        <w:ind w:right="-22"/>
        <w:rPr>
          <w:rFonts w:eastAsia="仿宋_GB2312"/>
          <w:sz w:val="24"/>
          <w:szCs w:val="24"/>
        </w:rPr>
      </w:pPr>
    </w:p>
    <w:p w14:paraId="6F3B5EFC">
      <w:pPr>
        <w:snapToGrid w:val="0"/>
        <w:spacing w:line="360" w:lineRule="auto"/>
        <w:ind w:right="-22"/>
        <w:rPr>
          <w:rFonts w:eastAsia="仿宋_GB2312"/>
          <w:sz w:val="24"/>
          <w:szCs w:val="24"/>
        </w:rPr>
      </w:pPr>
    </w:p>
    <w:p w14:paraId="53B7ED7F">
      <w:pPr>
        <w:snapToGrid w:val="0"/>
        <w:spacing w:line="360" w:lineRule="auto"/>
        <w:ind w:right="-22"/>
        <w:rPr>
          <w:rFonts w:eastAsia="仿宋_GB2312"/>
          <w:sz w:val="24"/>
          <w:szCs w:val="24"/>
        </w:rPr>
      </w:pPr>
    </w:p>
    <w:p w14:paraId="521EF608">
      <w:pPr>
        <w:snapToGrid w:val="0"/>
        <w:spacing w:line="360" w:lineRule="auto"/>
        <w:ind w:right="-22"/>
        <w:rPr>
          <w:rFonts w:eastAsia="仿宋_GB2312"/>
          <w:sz w:val="24"/>
          <w:szCs w:val="24"/>
        </w:rPr>
      </w:pPr>
    </w:p>
    <w:p w14:paraId="08D16308">
      <w:pPr>
        <w:snapToGrid w:val="0"/>
        <w:spacing w:line="360" w:lineRule="auto"/>
        <w:ind w:right="-22"/>
        <w:rPr>
          <w:rFonts w:eastAsia="仿宋_GB2312"/>
          <w:sz w:val="24"/>
          <w:szCs w:val="24"/>
        </w:rPr>
      </w:pPr>
    </w:p>
    <w:p w14:paraId="63D0E061">
      <w:pPr>
        <w:snapToGrid w:val="0"/>
        <w:spacing w:line="360" w:lineRule="auto"/>
        <w:ind w:right="-22"/>
        <w:rPr>
          <w:rFonts w:eastAsia="仿宋_GB2312"/>
          <w:sz w:val="24"/>
          <w:szCs w:val="24"/>
        </w:rPr>
      </w:pPr>
    </w:p>
    <w:p w14:paraId="5F3CC519">
      <w:pPr>
        <w:snapToGrid w:val="0"/>
        <w:spacing w:line="360" w:lineRule="auto"/>
        <w:ind w:right="-22"/>
        <w:rPr>
          <w:rFonts w:eastAsia="仿宋_GB2312"/>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AndChars" w:linePitch="312" w:charSpace="0"/>
        </w:sectPr>
      </w:pPr>
    </w:p>
    <w:p w14:paraId="39624472">
      <w:pPr>
        <w:snapToGrid w:val="0"/>
        <w:spacing w:line="360" w:lineRule="auto"/>
        <w:ind w:right="-22"/>
        <w:jc w:val="center"/>
        <w:rPr>
          <w:rFonts w:eastAsia="仿宋_GB2312"/>
          <w:b/>
          <w:sz w:val="32"/>
          <w:szCs w:val="32"/>
        </w:rPr>
      </w:pPr>
      <w:r>
        <w:rPr>
          <w:rFonts w:eastAsia="仿宋_GB2312"/>
          <w:b/>
          <w:sz w:val="32"/>
          <w:szCs w:val="32"/>
        </w:rPr>
        <w:t>一、报价函</w:t>
      </w:r>
    </w:p>
    <w:p w14:paraId="09E8A6A1">
      <w:pPr>
        <w:snapToGrid w:val="0"/>
        <w:spacing w:line="360" w:lineRule="auto"/>
        <w:ind w:right="-22"/>
        <w:jc w:val="left"/>
        <w:rPr>
          <w:rFonts w:eastAsia="仿宋_GB2312"/>
          <w:sz w:val="24"/>
          <w:szCs w:val="24"/>
        </w:rPr>
      </w:pPr>
      <w:r>
        <w:rPr>
          <w:rFonts w:eastAsia="仿宋_GB2312"/>
          <w:b/>
          <w:sz w:val="24"/>
          <w:szCs w:val="24"/>
        </w:rPr>
        <w:t>致：四川省交通勘察设计研究院有限公司</w:t>
      </w:r>
    </w:p>
    <w:p w14:paraId="3D4D2077">
      <w:pPr>
        <w:widowControl/>
        <w:spacing w:line="360" w:lineRule="auto"/>
        <w:ind w:firstLine="604" w:firstLineChars="252"/>
        <w:jc w:val="left"/>
        <w:rPr>
          <w:rFonts w:eastAsia="仿宋_GB2312"/>
          <w:sz w:val="24"/>
          <w:szCs w:val="24"/>
        </w:rPr>
      </w:pPr>
      <w:r>
        <w:rPr>
          <w:rFonts w:eastAsia="仿宋_GB2312"/>
          <w:sz w:val="24"/>
          <w:szCs w:val="24"/>
        </w:rPr>
        <w:t>我公司已认真阅读了贵单位发出的</w:t>
      </w:r>
      <w:r>
        <w:rPr>
          <w:rFonts w:hint="eastAsia" w:eastAsia="仿宋_GB2312"/>
          <w:snapToGrid w:val="0"/>
          <w:sz w:val="24"/>
          <w:szCs w:val="24"/>
          <w:u w:val="single"/>
        </w:rPr>
        <w:t>攀枝花至盐源高速公路JQ11等8处弃土场稳定性评估和溃坝动力模拟分析报告编制</w:t>
      </w:r>
      <w:r>
        <w:rPr>
          <w:rFonts w:eastAsia="仿宋_GB2312"/>
          <w:sz w:val="24"/>
          <w:szCs w:val="24"/>
        </w:rPr>
        <w:t>询价采购询价函，接受贵方询价函提出的各项要求，自愿参与该项目报价。</w:t>
      </w:r>
    </w:p>
    <w:p w14:paraId="52E354FD">
      <w:pPr>
        <w:numPr>
          <w:ilvl w:val="0"/>
          <w:numId w:val="1"/>
        </w:numPr>
        <w:spacing w:before="62" w:beforeLines="20" w:after="62" w:afterLines="20"/>
        <w:rPr>
          <w:rFonts w:eastAsia="仿宋_GB2312"/>
          <w:sz w:val="24"/>
          <w:szCs w:val="24"/>
        </w:rPr>
      </w:pPr>
      <w:r>
        <w:rPr>
          <w:rFonts w:eastAsia="仿宋_GB2312"/>
          <w:sz w:val="24"/>
          <w:szCs w:val="24"/>
        </w:rPr>
        <w:t>报价表</w:t>
      </w:r>
    </w:p>
    <w:tbl>
      <w:tblPr>
        <w:tblStyle w:val="23"/>
        <w:tblW w:w="48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924"/>
        <w:gridCol w:w="1985"/>
        <w:gridCol w:w="1841"/>
      </w:tblGrid>
      <w:tr w14:paraId="679A9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33" w:type="pct"/>
            <w:tcBorders>
              <w:top w:val="single" w:color="auto" w:sz="12" w:space="0"/>
            </w:tcBorders>
            <w:noWrap/>
            <w:vAlign w:val="center"/>
          </w:tcPr>
          <w:p w14:paraId="76404CFE">
            <w:pPr>
              <w:jc w:val="center"/>
              <w:rPr>
                <w:rFonts w:eastAsia="仿宋_GB2312"/>
                <w:kern w:val="0"/>
                <w:sz w:val="24"/>
                <w:szCs w:val="24"/>
              </w:rPr>
            </w:pPr>
            <w:r>
              <w:rPr>
                <w:rFonts w:eastAsia="仿宋_GB2312"/>
                <w:sz w:val="24"/>
                <w:szCs w:val="24"/>
              </w:rPr>
              <w:t>项目</w:t>
            </w:r>
          </w:p>
        </w:tc>
        <w:tc>
          <w:tcPr>
            <w:tcW w:w="2357" w:type="pct"/>
            <w:gridSpan w:val="2"/>
            <w:tcBorders>
              <w:top w:val="single" w:color="auto" w:sz="12" w:space="0"/>
            </w:tcBorders>
            <w:vAlign w:val="center"/>
          </w:tcPr>
          <w:p w14:paraId="1BD6995F">
            <w:pPr>
              <w:jc w:val="center"/>
              <w:rPr>
                <w:rFonts w:eastAsia="仿宋_GB2312"/>
                <w:sz w:val="24"/>
                <w:szCs w:val="24"/>
              </w:rPr>
            </w:pPr>
            <w:r>
              <w:rPr>
                <w:rFonts w:eastAsia="仿宋_GB2312"/>
                <w:sz w:val="24"/>
                <w:szCs w:val="24"/>
              </w:rPr>
              <w:t>含税总价报价 (元)</w:t>
            </w:r>
          </w:p>
        </w:tc>
        <w:tc>
          <w:tcPr>
            <w:tcW w:w="1110" w:type="pct"/>
            <w:tcBorders>
              <w:top w:val="single" w:color="auto" w:sz="12" w:space="0"/>
            </w:tcBorders>
            <w:vAlign w:val="center"/>
          </w:tcPr>
          <w:p w14:paraId="12C696F9">
            <w:pPr>
              <w:jc w:val="center"/>
              <w:rPr>
                <w:rFonts w:eastAsia="仿宋_GB2312"/>
                <w:sz w:val="24"/>
                <w:szCs w:val="24"/>
              </w:rPr>
            </w:pPr>
            <w:r>
              <w:rPr>
                <w:rFonts w:eastAsia="仿宋_GB2312"/>
                <w:sz w:val="24"/>
                <w:szCs w:val="24"/>
              </w:rPr>
              <w:t>增值税税率</w:t>
            </w:r>
          </w:p>
        </w:tc>
      </w:tr>
      <w:tr w14:paraId="6428B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533" w:type="pct"/>
            <w:tcBorders>
              <w:top w:val="single" w:color="auto" w:sz="12" w:space="0"/>
            </w:tcBorders>
            <w:noWrap/>
            <w:vAlign w:val="center"/>
          </w:tcPr>
          <w:p w14:paraId="2FA80647">
            <w:pPr>
              <w:jc w:val="center"/>
              <w:rPr>
                <w:rFonts w:eastAsia="仿宋_GB2312"/>
                <w:sz w:val="24"/>
                <w:szCs w:val="24"/>
                <w:u w:val="single"/>
              </w:rPr>
            </w:pPr>
            <w:r>
              <w:rPr>
                <w:rFonts w:hint="eastAsia" w:eastAsia="仿宋_GB2312"/>
                <w:snapToGrid w:val="0"/>
                <w:sz w:val="24"/>
                <w:szCs w:val="24"/>
                <w:u w:val="single"/>
              </w:rPr>
              <w:t>攀枝花至盐源高速公路JQ11等8处弃土场稳定性评估和溃坝动力模拟分析报告编制</w:t>
            </w:r>
          </w:p>
        </w:tc>
        <w:tc>
          <w:tcPr>
            <w:tcW w:w="1160" w:type="pct"/>
            <w:tcBorders>
              <w:top w:val="single" w:color="auto" w:sz="12" w:space="0"/>
            </w:tcBorders>
            <w:vAlign w:val="center"/>
          </w:tcPr>
          <w:p w14:paraId="5C05AD34">
            <w:pPr>
              <w:rPr>
                <w:rFonts w:eastAsia="仿宋_GB2312"/>
                <w:sz w:val="24"/>
                <w:szCs w:val="24"/>
              </w:rPr>
            </w:pPr>
            <w:r>
              <w:rPr>
                <w:rFonts w:eastAsia="仿宋_GB2312"/>
                <w:sz w:val="24"/>
                <w:szCs w:val="24"/>
              </w:rPr>
              <w:t xml:space="preserve">小写：        </w:t>
            </w:r>
          </w:p>
        </w:tc>
        <w:tc>
          <w:tcPr>
            <w:tcW w:w="1197" w:type="pct"/>
            <w:tcBorders>
              <w:top w:val="single" w:color="auto" w:sz="12" w:space="0"/>
            </w:tcBorders>
            <w:vAlign w:val="center"/>
          </w:tcPr>
          <w:p w14:paraId="60D294CE">
            <w:pPr>
              <w:rPr>
                <w:rFonts w:eastAsia="仿宋_GB2312"/>
                <w:sz w:val="24"/>
                <w:szCs w:val="24"/>
              </w:rPr>
            </w:pPr>
            <w:r>
              <w:rPr>
                <w:rFonts w:eastAsia="仿宋_GB2312"/>
                <w:sz w:val="24"/>
                <w:szCs w:val="24"/>
              </w:rPr>
              <w:t>大写：</w:t>
            </w:r>
          </w:p>
        </w:tc>
        <w:tc>
          <w:tcPr>
            <w:tcW w:w="1110" w:type="pct"/>
            <w:tcBorders>
              <w:top w:val="single" w:color="auto" w:sz="12" w:space="0"/>
            </w:tcBorders>
            <w:vAlign w:val="center"/>
          </w:tcPr>
          <w:p w14:paraId="09A398C7">
            <w:pPr>
              <w:jc w:val="center"/>
              <w:rPr>
                <w:rFonts w:eastAsia="仿宋_GB2312"/>
                <w:sz w:val="24"/>
                <w:szCs w:val="24"/>
                <w:u w:val="single"/>
              </w:rPr>
            </w:pPr>
            <w:r>
              <w:rPr>
                <w:rFonts w:eastAsia="仿宋_GB2312"/>
                <w:sz w:val="24"/>
                <w:szCs w:val="24"/>
                <w:u w:val="single"/>
              </w:rPr>
              <w:t xml:space="preserve">      %</w:t>
            </w:r>
          </w:p>
        </w:tc>
      </w:tr>
      <w:tr w14:paraId="1FB22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33" w:type="pct"/>
            <w:noWrap/>
            <w:vAlign w:val="center"/>
          </w:tcPr>
          <w:p w14:paraId="097546B5">
            <w:pPr>
              <w:widowControl/>
              <w:ind w:left="960" w:hanging="960" w:hangingChars="400"/>
              <w:jc w:val="center"/>
              <w:rPr>
                <w:rFonts w:eastAsia="仿宋_GB2312"/>
                <w:kern w:val="0"/>
                <w:sz w:val="24"/>
                <w:szCs w:val="24"/>
                <w:u w:val="single"/>
              </w:rPr>
            </w:pPr>
            <w:r>
              <w:rPr>
                <w:rFonts w:eastAsia="仿宋_GB2312"/>
                <w:kern w:val="0"/>
                <w:sz w:val="24"/>
                <w:szCs w:val="24"/>
              </w:rPr>
              <w:t>工作内容</w:t>
            </w:r>
          </w:p>
        </w:tc>
        <w:tc>
          <w:tcPr>
            <w:tcW w:w="3467" w:type="pct"/>
            <w:gridSpan w:val="3"/>
            <w:vAlign w:val="center"/>
          </w:tcPr>
          <w:p w14:paraId="631EE841">
            <w:pPr>
              <w:widowControl/>
              <w:jc w:val="left"/>
              <w:rPr>
                <w:rFonts w:eastAsia="仿宋_GB2312"/>
                <w:snapToGrid w:val="0"/>
                <w:kern w:val="0"/>
                <w:sz w:val="24"/>
                <w:szCs w:val="24"/>
              </w:rPr>
            </w:pPr>
            <w:r>
              <w:rPr>
                <w:rFonts w:hint="eastAsia" w:eastAsia="仿宋_GB2312"/>
                <w:snapToGrid w:val="0"/>
                <w:kern w:val="0"/>
                <w:sz w:val="24"/>
                <w:szCs w:val="24"/>
              </w:rPr>
              <w:t>完成本项目JQ11等8处弃土场稳定性评估和溃坝动力模拟分析报告编制，具体包括：</w:t>
            </w:r>
          </w:p>
          <w:p w14:paraId="54E40C30">
            <w:pPr>
              <w:widowControl/>
              <w:jc w:val="left"/>
              <w:rPr>
                <w:rFonts w:eastAsia="仿宋_GB2312"/>
                <w:snapToGrid w:val="0"/>
                <w:kern w:val="0"/>
                <w:sz w:val="24"/>
                <w:szCs w:val="24"/>
              </w:rPr>
            </w:pPr>
            <w:r>
              <w:rPr>
                <w:rFonts w:hint="eastAsia" w:eastAsia="仿宋_GB2312"/>
                <w:snapToGrid w:val="0"/>
                <w:kern w:val="0"/>
                <w:sz w:val="24"/>
                <w:szCs w:val="24"/>
              </w:rPr>
              <w:t>1.本次评估内容包含弃渣场的地质条件及周边环境介绍、渣场稳定性分析、拦挡工程稳定性分析、渣场排导设施过流能力以及安全稳定性评价等；</w:t>
            </w:r>
          </w:p>
          <w:p w14:paraId="0ABB7C70">
            <w:pPr>
              <w:widowControl/>
              <w:jc w:val="left"/>
              <w:rPr>
                <w:rFonts w:eastAsia="仿宋_GB2312"/>
                <w:snapToGrid w:val="0"/>
                <w:kern w:val="0"/>
                <w:sz w:val="24"/>
                <w:szCs w:val="24"/>
              </w:rPr>
            </w:pPr>
            <w:r>
              <w:rPr>
                <w:rFonts w:hint="eastAsia" w:eastAsia="仿宋_GB2312"/>
                <w:snapToGrid w:val="0"/>
                <w:kern w:val="0"/>
                <w:sz w:val="24"/>
                <w:szCs w:val="24"/>
              </w:rPr>
              <w:t>2.弃渣场下游一定范围内有公共设施、基础设施、工业企业、居民点等敏感因素，应有论证并有明确的“不存在重大影响”的论证结论，并进行溃坝分析；</w:t>
            </w:r>
          </w:p>
          <w:p w14:paraId="73264F03">
            <w:pPr>
              <w:widowControl/>
              <w:jc w:val="left"/>
              <w:rPr>
                <w:rFonts w:eastAsia="仿宋_GB2312"/>
                <w:snapToGrid w:val="0"/>
                <w:kern w:val="0"/>
                <w:sz w:val="24"/>
                <w:szCs w:val="24"/>
              </w:rPr>
            </w:pPr>
            <w:r>
              <w:rPr>
                <w:rFonts w:hint="eastAsia" w:eastAsia="仿宋_GB2312"/>
                <w:snapToGrid w:val="0"/>
                <w:kern w:val="0"/>
                <w:sz w:val="24"/>
                <w:szCs w:val="24"/>
              </w:rPr>
              <w:t>3.应进行相应的渗流分析、水工模拟等(若需要)。</w:t>
            </w:r>
          </w:p>
        </w:tc>
      </w:tr>
    </w:tbl>
    <w:p w14:paraId="11A76F3C">
      <w:pPr>
        <w:ind w:firstLine="241" w:firstLineChars="100"/>
        <w:rPr>
          <w:rFonts w:eastAsia="仿宋_GB2312"/>
          <w:b/>
          <w:sz w:val="24"/>
          <w:szCs w:val="24"/>
        </w:rPr>
      </w:pPr>
      <w:r>
        <w:rPr>
          <w:rFonts w:eastAsia="仿宋_GB2312"/>
          <w:b/>
          <w:sz w:val="24"/>
          <w:szCs w:val="24"/>
        </w:rPr>
        <w:t>注：</w:t>
      </w:r>
    </w:p>
    <w:p w14:paraId="5F62FECD">
      <w:pPr>
        <w:ind w:firstLine="241" w:firstLineChars="100"/>
        <w:rPr>
          <w:rFonts w:eastAsia="仿宋_GB2312"/>
          <w:b/>
          <w:sz w:val="24"/>
          <w:szCs w:val="24"/>
        </w:rPr>
      </w:pPr>
      <w:r>
        <w:rPr>
          <w:rFonts w:eastAsia="仿宋_GB2312"/>
          <w:b/>
          <w:sz w:val="24"/>
          <w:szCs w:val="24"/>
        </w:rPr>
        <w:t>1.本报价为包干费用，包括设备、材料、人工、安全文明施工、管理、利润、税金等和政策性文件规定的所有费用。</w:t>
      </w:r>
    </w:p>
    <w:p w14:paraId="73D5EC8A">
      <w:pPr>
        <w:ind w:firstLine="241" w:firstLineChars="100"/>
        <w:rPr>
          <w:rFonts w:eastAsia="仿宋_GB2312"/>
          <w:b/>
          <w:sz w:val="24"/>
          <w:szCs w:val="24"/>
        </w:rPr>
      </w:pPr>
      <w:r>
        <w:rPr>
          <w:rFonts w:eastAsia="仿宋_GB2312"/>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0E063D0">
      <w:pPr>
        <w:spacing w:before="62" w:beforeLines="20" w:after="62" w:afterLines="20"/>
        <w:rPr>
          <w:rFonts w:eastAsia="仿宋_GB2312"/>
          <w:sz w:val="24"/>
          <w:szCs w:val="24"/>
        </w:rPr>
      </w:pPr>
      <w:r>
        <w:rPr>
          <w:rFonts w:eastAsia="仿宋_GB2312"/>
          <w:sz w:val="24"/>
          <w:szCs w:val="24"/>
        </w:rPr>
        <w:t>二、工期</w:t>
      </w:r>
    </w:p>
    <w:p w14:paraId="2CCCE00D">
      <w:pPr>
        <w:widowControl/>
        <w:spacing w:line="360" w:lineRule="auto"/>
        <w:ind w:left="479" w:leftChars="228" w:firstLine="360" w:firstLineChars="150"/>
        <w:jc w:val="left"/>
        <w:rPr>
          <w:rFonts w:hint="eastAsia" w:eastAsia="仿宋_GB2312"/>
          <w:sz w:val="24"/>
          <w:szCs w:val="24"/>
        </w:rPr>
      </w:pPr>
      <w:r>
        <w:rPr>
          <w:rFonts w:hint="eastAsia" w:eastAsia="仿宋_GB2312"/>
          <w:sz w:val="24"/>
          <w:szCs w:val="24"/>
        </w:rPr>
        <w:t>自甲方向乙方提供基础资料之日起算，乙方应于</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rPr>
        <w:t>日历天内提交送审稿，</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rPr>
        <w:t>日历天内通过专家评审。</w:t>
      </w:r>
    </w:p>
    <w:p w14:paraId="2EC58BFC">
      <w:pPr>
        <w:spacing w:before="62" w:beforeLines="20" w:after="62" w:afterLines="20"/>
        <w:rPr>
          <w:rFonts w:eastAsia="仿宋_GB2312"/>
          <w:sz w:val="24"/>
          <w:szCs w:val="24"/>
        </w:rPr>
      </w:pPr>
      <w:r>
        <w:rPr>
          <w:rFonts w:eastAsia="仿宋_GB2312"/>
          <w:sz w:val="24"/>
          <w:szCs w:val="24"/>
        </w:rPr>
        <w:t>三、服务承诺</w:t>
      </w:r>
    </w:p>
    <w:p w14:paraId="6B981D95">
      <w:pPr>
        <w:widowControl/>
        <w:spacing w:line="360" w:lineRule="auto"/>
        <w:ind w:firstLine="604" w:firstLineChars="252"/>
        <w:jc w:val="left"/>
        <w:rPr>
          <w:rFonts w:eastAsia="仿宋_GB2312"/>
          <w:sz w:val="24"/>
          <w:szCs w:val="24"/>
        </w:rPr>
      </w:pPr>
      <w:r>
        <w:rPr>
          <w:rFonts w:eastAsia="仿宋_GB2312"/>
          <w:sz w:val="24"/>
          <w:szCs w:val="24"/>
        </w:rPr>
        <w:t>1、依据贵方的管理目标、技术要求，服从统一安排和现场负责人的统一指挥，接受贵方现场人员的质量安全的管理监督；执行贵方提供的任务书实施要求，确保达到质量、安全标准。</w:t>
      </w:r>
    </w:p>
    <w:p w14:paraId="45B3D191">
      <w:pPr>
        <w:widowControl/>
        <w:spacing w:line="360" w:lineRule="auto"/>
        <w:ind w:firstLine="604" w:firstLineChars="252"/>
        <w:jc w:val="left"/>
        <w:rPr>
          <w:rFonts w:eastAsia="仿宋_GB2312"/>
          <w:sz w:val="24"/>
          <w:szCs w:val="24"/>
        </w:rPr>
      </w:pPr>
      <w:r>
        <w:rPr>
          <w:rFonts w:eastAsia="仿宋_GB2312"/>
          <w:sz w:val="24"/>
          <w:szCs w:val="24"/>
        </w:rPr>
        <w:t>2、加强工作过程的管理，保证在整个工作过程中的文明生产、安全生产，做好预防保障措施，一旦出现类似意外事件，均由我方全部负责，与贵方无关。</w:t>
      </w:r>
    </w:p>
    <w:p w14:paraId="1E7B8C02">
      <w:pPr>
        <w:widowControl/>
        <w:spacing w:line="360" w:lineRule="auto"/>
        <w:ind w:firstLine="604" w:firstLineChars="252"/>
        <w:jc w:val="left"/>
        <w:rPr>
          <w:rFonts w:eastAsia="仿宋_GB2312"/>
          <w:sz w:val="24"/>
          <w:szCs w:val="24"/>
        </w:rPr>
      </w:pPr>
      <w:r>
        <w:rPr>
          <w:rFonts w:eastAsia="仿宋_GB2312"/>
          <w:sz w:val="24"/>
          <w:szCs w:val="24"/>
        </w:rPr>
        <w:t>3、我公司已知悉询价函所列要求，将严格按照询价函要求执行，保证“工程质量及安全要求”。</w:t>
      </w:r>
    </w:p>
    <w:p w14:paraId="04B6E486">
      <w:pPr>
        <w:pStyle w:val="22"/>
        <w:ind w:left="0" w:leftChars="0" w:firstLine="480"/>
        <w:rPr>
          <w:rFonts w:ascii="Times New Roman" w:hAnsi="Times New Roman" w:eastAsia="仿宋_GB2312"/>
          <w:sz w:val="24"/>
          <w:szCs w:val="24"/>
        </w:rPr>
      </w:pPr>
      <w:r>
        <w:rPr>
          <w:rFonts w:ascii="Times New Roman" w:hAnsi="Times New Roman" w:eastAsia="仿宋_GB2312"/>
          <w:sz w:val="24"/>
          <w:szCs w:val="24"/>
        </w:rPr>
        <w:t>4、我公司已知悉询价函及附件中所列明的违约的责任，若有违约情况，我公司自愿承担相应责任。</w:t>
      </w:r>
    </w:p>
    <w:p w14:paraId="77699A34">
      <w:pPr>
        <w:pStyle w:val="22"/>
        <w:ind w:left="0" w:leftChars="0" w:firstLine="480"/>
        <w:rPr>
          <w:rFonts w:ascii="Times New Roman" w:hAnsi="Times New Roman" w:eastAsia="仿宋_GB2312"/>
          <w:sz w:val="24"/>
          <w:szCs w:val="24"/>
        </w:rPr>
      </w:pPr>
      <w:r>
        <w:rPr>
          <w:rFonts w:ascii="Times New Roman" w:hAnsi="Times New Roman" w:eastAsia="仿宋_GB2312"/>
          <w:sz w:val="24"/>
          <w:szCs w:val="24"/>
        </w:rPr>
        <w:t>5、我方承诺提供满足本项目要求的人员及设备。</w:t>
      </w:r>
    </w:p>
    <w:p w14:paraId="294DBF91">
      <w:pPr>
        <w:pStyle w:val="22"/>
        <w:ind w:left="0" w:leftChars="0" w:firstLine="480"/>
        <w:rPr>
          <w:rFonts w:ascii="Times New Roman" w:hAnsi="Times New Roman" w:eastAsia="仿宋_GB2312"/>
          <w:sz w:val="24"/>
          <w:szCs w:val="24"/>
        </w:rPr>
      </w:pPr>
      <w:r>
        <w:rPr>
          <w:rFonts w:ascii="Times New Roman" w:hAnsi="Times New Roman" w:eastAsia="仿宋_GB2312"/>
          <w:sz w:val="24"/>
          <w:szCs w:val="24"/>
        </w:rPr>
        <w:t>6、我方承诺本报价文件有效期60个日历天。</w:t>
      </w:r>
    </w:p>
    <w:p w14:paraId="26BAEF20">
      <w:pPr>
        <w:spacing w:before="62" w:beforeLines="20" w:after="62" w:afterLines="20"/>
        <w:rPr>
          <w:rFonts w:eastAsia="仿宋_GB2312"/>
          <w:sz w:val="24"/>
          <w:szCs w:val="24"/>
        </w:rPr>
      </w:pPr>
      <w:r>
        <w:rPr>
          <w:rFonts w:eastAsia="仿宋_GB2312"/>
          <w:sz w:val="24"/>
          <w:szCs w:val="24"/>
        </w:rPr>
        <w:t>四、联系人：</w:t>
      </w:r>
      <w:r>
        <w:rPr>
          <w:rFonts w:eastAsia="仿宋_GB2312"/>
          <w:sz w:val="24"/>
          <w:szCs w:val="24"/>
          <w:u w:val="single"/>
        </w:rPr>
        <w:tab/>
      </w:r>
      <w:r>
        <w:rPr>
          <w:rFonts w:eastAsia="仿宋_GB2312"/>
          <w:sz w:val="24"/>
          <w:szCs w:val="24"/>
          <w:u w:val="single"/>
        </w:rPr>
        <w:t xml:space="preserve">         </w:t>
      </w:r>
      <w:r>
        <w:rPr>
          <w:rFonts w:eastAsia="仿宋_GB2312"/>
          <w:sz w:val="24"/>
          <w:szCs w:val="24"/>
        </w:rPr>
        <w:t>电话：</w:t>
      </w:r>
      <w:r>
        <w:rPr>
          <w:rFonts w:eastAsia="仿宋_GB2312"/>
          <w:sz w:val="24"/>
          <w:szCs w:val="24"/>
          <w:u w:val="single"/>
        </w:rPr>
        <w:t xml:space="preserve">                   </w:t>
      </w:r>
      <w:r>
        <w:rPr>
          <w:rFonts w:eastAsia="仿宋_GB2312"/>
          <w:sz w:val="24"/>
          <w:szCs w:val="24"/>
        </w:rPr>
        <w:t xml:space="preserve">。                       </w:t>
      </w:r>
    </w:p>
    <w:p w14:paraId="6C74631B">
      <w:pPr>
        <w:spacing w:before="156" w:beforeLines="50" w:after="156" w:afterLines="50"/>
        <w:jc w:val="right"/>
        <w:rPr>
          <w:rFonts w:eastAsia="仿宋_GB2312"/>
          <w:sz w:val="24"/>
          <w:szCs w:val="24"/>
        </w:rPr>
      </w:pPr>
    </w:p>
    <w:p w14:paraId="480B03C3">
      <w:pPr>
        <w:spacing w:before="156" w:beforeLines="50" w:after="156" w:afterLines="50"/>
        <w:jc w:val="right"/>
        <w:rPr>
          <w:rFonts w:eastAsia="仿宋_GB2312"/>
          <w:sz w:val="24"/>
          <w:szCs w:val="24"/>
        </w:rPr>
      </w:pPr>
    </w:p>
    <w:p w14:paraId="699C1A8B">
      <w:pPr>
        <w:spacing w:before="156" w:beforeLines="50" w:after="156" w:afterLines="50"/>
        <w:jc w:val="right"/>
        <w:rPr>
          <w:rFonts w:eastAsia="仿宋_GB2312"/>
          <w:sz w:val="24"/>
          <w:szCs w:val="24"/>
          <w:u w:val="single"/>
        </w:rPr>
      </w:pPr>
      <w:r>
        <w:rPr>
          <w:rFonts w:eastAsia="仿宋_GB2312"/>
          <w:sz w:val="24"/>
          <w:szCs w:val="24"/>
        </w:rPr>
        <w:t xml:space="preserve"> 供应商名称：</w:t>
      </w:r>
      <w:r>
        <w:rPr>
          <w:rFonts w:eastAsia="仿宋_GB2312"/>
          <w:sz w:val="24"/>
          <w:szCs w:val="24"/>
          <w:u w:val="single"/>
        </w:rPr>
        <w:t xml:space="preserve">                (盖章) </w:t>
      </w:r>
    </w:p>
    <w:p w14:paraId="24B32402">
      <w:pPr>
        <w:pStyle w:val="22"/>
        <w:ind w:left="319" w:firstLine="480"/>
        <w:jc w:val="right"/>
        <w:rPr>
          <w:rFonts w:ascii="Times New Roman" w:hAnsi="Times New Roman" w:eastAsia="仿宋_GB2312"/>
          <w:sz w:val="24"/>
          <w:szCs w:val="24"/>
          <w:u w:val="single"/>
        </w:rPr>
      </w:pPr>
      <w:r>
        <w:rPr>
          <w:rFonts w:ascii="Times New Roman" w:hAnsi="Times New Roman" w:eastAsia="仿宋_GB2312"/>
          <w:sz w:val="24"/>
          <w:szCs w:val="24"/>
        </w:rPr>
        <w:t>法定代表人或其委托代理人：</w:t>
      </w:r>
      <w:r>
        <w:rPr>
          <w:rFonts w:ascii="Times New Roman" w:hAnsi="Times New Roman" w:eastAsia="仿宋_GB2312"/>
          <w:sz w:val="24"/>
          <w:szCs w:val="24"/>
          <w:u w:val="single"/>
        </w:rPr>
        <w:t xml:space="preserve">               (签字)</w:t>
      </w:r>
    </w:p>
    <w:p w14:paraId="07792E95">
      <w:pPr>
        <w:spacing w:before="156" w:beforeLines="50" w:after="156" w:afterLines="50"/>
        <w:jc w:val="center"/>
        <w:rPr>
          <w:rFonts w:eastAsia="仿宋_GB2312"/>
          <w:sz w:val="24"/>
          <w:szCs w:val="24"/>
        </w:rPr>
      </w:pPr>
      <w:r>
        <w:rPr>
          <w:rFonts w:eastAsia="仿宋_GB2312"/>
          <w:sz w:val="24"/>
          <w:szCs w:val="24"/>
        </w:rPr>
        <w:t xml:space="preserve">                                                 </w:t>
      </w: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Pr>
          <w:rFonts w:eastAsia="仿宋_GB2312"/>
          <w:sz w:val="24"/>
          <w:szCs w:val="24"/>
        </w:rPr>
        <w:t>月</w:t>
      </w:r>
      <w:r>
        <w:rPr>
          <w:rFonts w:eastAsia="仿宋_GB2312"/>
          <w:sz w:val="24"/>
          <w:szCs w:val="24"/>
          <w:u w:val="single"/>
        </w:rPr>
        <w:t xml:space="preserve">    </w:t>
      </w:r>
      <w:r>
        <w:rPr>
          <w:rFonts w:eastAsia="仿宋_GB2312"/>
          <w:sz w:val="24"/>
          <w:szCs w:val="24"/>
        </w:rPr>
        <w:t>日</w:t>
      </w:r>
    </w:p>
    <w:p w14:paraId="4EFCB30A">
      <w:pPr>
        <w:spacing w:line="360" w:lineRule="auto"/>
        <w:jc w:val="center"/>
        <w:rPr>
          <w:rFonts w:eastAsia="仿宋_GB2312"/>
          <w:b/>
          <w:sz w:val="24"/>
          <w:szCs w:val="24"/>
        </w:rPr>
      </w:pPr>
      <w:bookmarkStart w:id="7" w:name="_Toc79578878"/>
      <w:r>
        <w:rPr>
          <w:rFonts w:eastAsia="仿宋_GB2312"/>
          <w:b/>
          <w:sz w:val="24"/>
          <w:szCs w:val="24"/>
        </w:rPr>
        <w:br w:type="page"/>
      </w:r>
      <w:r>
        <w:rPr>
          <w:rFonts w:eastAsia="仿宋_GB2312"/>
          <w:b/>
          <w:sz w:val="24"/>
          <w:szCs w:val="24"/>
        </w:rPr>
        <w:t>二、</w:t>
      </w:r>
      <w:bookmarkEnd w:id="7"/>
      <w:r>
        <w:rPr>
          <w:rFonts w:eastAsia="仿宋_GB2312"/>
          <w:b/>
          <w:sz w:val="24"/>
          <w:szCs w:val="24"/>
        </w:rPr>
        <w:t>法定代表人身份证明或授权委托书</w:t>
      </w:r>
    </w:p>
    <w:p w14:paraId="4F6D6737">
      <w:pPr>
        <w:autoSpaceDE w:val="0"/>
        <w:autoSpaceDN w:val="0"/>
        <w:adjustRightInd w:val="0"/>
        <w:spacing w:line="360" w:lineRule="auto"/>
        <w:jc w:val="center"/>
        <w:rPr>
          <w:rFonts w:eastAsia="仿宋_GB2312"/>
          <w:b/>
          <w:sz w:val="24"/>
          <w:szCs w:val="24"/>
        </w:rPr>
      </w:pPr>
      <w:r>
        <w:rPr>
          <w:rFonts w:eastAsia="仿宋_GB2312"/>
          <w:b/>
          <w:sz w:val="24"/>
          <w:szCs w:val="24"/>
        </w:rPr>
        <w:t>（一）法定代表人身份证明书</w:t>
      </w:r>
    </w:p>
    <w:p w14:paraId="331D87FE">
      <w:pPr>
        <w:spacing w:line="440" w:lineRule="exact"/>
        <w:rPr>
          <w:sz w:val="24"/>
          <w:szCs w:val="24"/>
        </w:rPr>
      </w:pPr>
    </w:p>
    <w:p w14:paraId="0EF6DB0A">
      <w:pPr>
        <w:spacing w:line="440" w:lineRule="exact"/>
        <w:rPr>
          <w:rFonts w:eastAsia="仿宋_GB2312"/>
          <w:sz w:val="24"/>
          <w:szCs w:val="24"/>
        </w:rPr>
      </w:pPr>
      <w:r>
        <w:rPr>
          <w:rFonts w:eastAsia="仿宋_GB2312"/>
          <w:sz w:val="24"/>
          <w:szCs w:val="24"/>
        </w:rPr>
        <w:t>供应商名称：</w:t>
      </w:r>
      <w:r>
        <w:rPr>
          <w:rFonts w:eastAsia="仿宋_GB2312"/>
          <w:sz w:val="24"/>
          <w:szCs w:val="24"/>
          <w:u w:val="single"/>
        </w:rPr>
        <w:t xml:space="preserve">                            </w:t>
      </w:r>
      <w:r>
        <w:rPr>
          <w:rFonts w:eastAsia="仿宋_GB2312"/>
          <w:sz w:val="24"/>
          <w:szCs w:val="24"/>
        </w:rPr>
        <w:t xml:space="preserve"> </w:t>
      </w:r>
    </w:p>
    <w:p w14:paraId="2F3DD837">
      <w:pPr>
        <w:spacing w:line="440" w:lineRule="exact"/>
        <w:rPr>
          <w:rFonts w:eastAsia="仿宋_GB2312"/>
          <w:sz w:val="24"/>
          <w:szCs w:val="24"/>
        </w:rPr>
      </w:pPr>
      <w:r>
        <w:rPr>
          <w:rFonts w:eastAsia="仿宋_GB2312"/>
          <w:sz w:val="24"/>
          <w:szCs w:val="24"/>
        </w:rPr>
        <w:t>单位性质：</w:t>
      </w:r>
      <w:r>
        <w:rPr>
          <w:rFonts w:eastAsia="仿宋_GB2312"/>
          <w:sz w:val="24"/>
          <w:szCs w:val="24"/>
          <w:u w:val="single"/>
        </w:rPr>
        <w:t xml:space="preserve">                               </w:t>
      </w:r>
      <w:r>
        <w:rPr>
          <w:rFonts w:eastAsia="仿宋_GB2312"/>
          <w:sz w:val="24"/>
          <w:szCs w:val="24"/>
        </w:rPr>
        <w:t xml:space="preserve"> </w:t>
      </w:r>
    </w:p>
    <w:p w14:paraId="729C77B1">
      <w:pPr>
        <w:spacing w:line="440" w:lineRule="exact"/>
        <w:rPr>
          <w:rFonts w:eastAsia="仿宋_GB2312"/>
          <w:sz w:val="24"/>
          <w:szCs w:val="24"/>
        </w:rPr>
      </w:pPr>
      <w:r>
        <w:rPr>
          <w:rFonts w:eastAsia="仿宋_GB2312"/>
          <w:sz w:val="24"/>
          <w:szCs w:val="24"/>
        </w:rPr>
        <w:t>地址：</w:t>
      </w:r>
      <w:r>
        <w:rPr>
          <w:rFonts w:eastAsia="仿宋_GB2312"/>
          <w:sz w:val="24"/>
          <w:szCs w:val="24"/>
          <w:u w:val="single"/>
        </w:rPr>
        <w:t xml:space="preserve">                                   </w:t>
      </w:r>
    </w:p>
    <w:p w14:paraId="77A8A69A">
      <w:pPr>
        <w:spacing w:line="440" w:lineRule="exact"/>
        <w:rPr>
          <w:rFonts w:eastAsia="仿宋_GB2312"/>
          <w:sz w:val="24"/>
          <w:szCs w:val="24"/>
        </w:rPr>
      </w:pPr>
      <w:r>
        <w:rPr>
          <w:rFonts w:eastAsia="仿宋_GB2312"/>
          <w:sz w:val="24"/>
          <w:szCs w:val="24"/>
        </w:rPr>
        <w:t>成立时间：</w:t>
      </w:r>
      <w:r>
        <w:rPr>
          <w:rFonts w:eastAsia="仿宋_GB2312"/>
          <w:sz w:val="24"/>
          <w:szCs w:val="24"/>
          <w:u w:val="single"/>
        </w:rPr>
        <w:t xml:space="preserve">         </w:t>
      </w:r>
      <w:r>
        <w:rPr>
          <w:rFonts w:eastAsia="仿宋_GB2312"/>
          <w:sz w:val="24"/>
          <w:szCs w:val="24"/>
        </w:rPr>
        <w:t xml:space="preserve"> 年</w:t>
      </w:r>
      <w:r>
        <w:rPr>
          <w:rFonts w:eastAsia="仿宋_GB2312"/>
          <w:sz w:val="24"/>
          <w:szCs w:val="24"/>
          <w:u w:val="single"/>
        </w:rPr>
        <w:t xml:space="preserve">       </w:t>
      </w:r>
      <w:r>
        <w:rPr>
          <w:rFonts w:eastAsia="仿宋_GB2312"/>
          <w:sz w:val="24"/>
          <w:szCs w:val="24"/>
        </w:rPr>
        <w:t xml:space="preserve"> 月</w:t>
      </w:r>
      <w:r>
        <w:rPr>
          <w:rFonts w:eastAsia="仿宋_GB2312"/>
          <w:sz w:val="24"/>
          <w:szCs w:val="24"/>
          <w:u w:val="single"/>
        </w:rPr>
        <w:t xml:space="preserve">       </w:t>
      </w:r>
      <w:r>
        <w:rPr>
          <w:rFonts w:eastAsia="仿宋_GB2312"/>
          <w:sz w:val="24"/>
          <w:szCs w:val="24"/>
        </w:rPr>
        <w:t xml:space="preserve"> 日</w:t>
      </w:r>
    </w:p>
    <w:p w14:paraId="1C0C51F7">
      <w:pPr>
        <w:spacing w:line="440" w:lineRule="exact"/>
        <w:rPr>
          <w:rFonts w:eastAsia="仿宋_GB2312"/>
          <w:sz w:val="24"/>
          <w:szCs w:val="24"/>
        </w:rPr>
      </w:pPr>
      <w:r>
        <w:rPr>
          <w:rFonts w:eastAsia="仿宋_GB2312"/>
          <w:sz w:val="24"/>
          <w:szCs w:val="24"/>
        </w:rPr>
        <w:t>姓名：</w:t>
      </w:r>
      <w:r>
        <w:rPr>
          <w:rFonts w:eastAsia="仿宋_GB2312"/>
          <w:sz w:val="24"/>
          <w:szCs w:val="24"/>
          <w:u w:val="single"/>
        </w:rPr>
        <w:t xml:space="preserve"> </w:t>
      </w:r>
      <w:r>
        <w:rPr>
          <w:rFonts w:eastAsia="仿宋_GB2312"/>
          <w:bCs/>
          <w:sz w:val="24"/>
          <w:szCs w:val="24"/>
          <w:u w:val="single"/>
        </w:rPr>
        <w:t xml:space="preserve">           </w:t>
      </w:r>
      <w:r>
        <w:rPr>
          <w:rFonts w:eastAsia="仿宋_GB2312"/>
          <w:sz w:val="24"/>
          <w:szCs w:val="24"/>
          <w:u w:val="single"/>
        </w:rPr>
        <w:t xml:space="preserve"> </w:t>
      </w:r>
      <w:r>
        <w:rPr>
          <w:rFonts w:eastAsia="仿宋_GB2312"/>
          <w:sz w:val="24"/>
          <w:szCs w:val="24"/>
        </w:rPr>
        <w:t xml:space="preserve"> 性别：</w:t>
      </w:r>
      <w:r>
        <w:rPr>
          <w:rFonts w:eastAsia="仿宋_GB2312"/>
          <w:sz w:val="24"/>
          <w:szCs w:val="24"/>
          <w:u w:val="single"/>
        </w:rPr>
        <w:t xml:space="preserve">     </w:t>
      </w:r>
      <w:r>
        <w:rPr>
          <w:rFonts w:eastAsia="仿宋_GB2312"/>
          <w:sz w:val="24"/>
          <w:szCs w:val="24"/>
        </w:rPr>
        <w:t xml:space="preserve"> 年龄：</w:t>
      </w:r>
      <w:r>
        <w:rPr>
          <w:rFonts w:eastAsia="仿宋_GB2312"/>
          <w:sz w:val="24"/>
          <w:szCs w:val="24"/>
          <w:u w:val="single"/>
        </w:rPr>
        <w:t xml:space="preserve">        </w:t>
      </w:r>
      <w:r>
        <w:rPr>
          <w:rFonts w:eastAsia="仿宋_GB2312"/>
          <w:sz w:val="24"/>
          <w:szCs w:val="24"/>
        </w:rPr>
        <w:t>职务：</w:t>
      </w:r>
      <w:r>
        <w:rPr>
          <w:rFonts w:eastAsia="仿宋_GB2312"/>
          <w:sz w:val="24"/>
          <w:szCs w:val="24"/>
          <w:u w:val="single"/>
        </w:rPr>
        <w:t xml:space="preserve">        </w:t>
      </w:r>
    </w:p>
    <w:p w14:paraId="1FB1397D">
      <w:pPr>
        <w:spacing w:line="440" w:lineRule="exact"/>
        <w:rPr>
          <w:rFonts w:eastAsia="仿宋_GB2312"/>
          <w:sz w:val="24"/>
          <w:szCs w:val="24"/>
        </w:rPr>
      </w:pPr>
      <w:r>
        <w:rPr>
          <w:rFonts w:eastAsia="仿宋_GB2312"/>
          <w:sz w:val="24"/>
          <w:szCs w:val="24"/>
        </w:rPr>
        <w:t>系</w:t>
      </w:r>
      <w:r>
        <w:rPr>
          <w:rFonts w:eastAsia="仿宋_GB2312"/>
          <w:sz w:val="24"/>
          <w:szCs w:val="24"/>
          <w:u w:val="single"/>
        </w:rPr>
        <w:t xml:space="preserve">                             </w:t>
      </w:r>
      <w:r>
        <w:rPr>
          <w:rFonts w:eastAsia="仿宋_GB2312"/>
          <w:sz w:val="24"/>
          <w:szCs w:val="24"/>
        </w:rPr>
        <w:t xml:space="preserve"> (投标人名称)的法定代表人。</w:t>
      </w:r>
    </w:p>
    <w:p w14:paraId="6CF73232">
      <w:pPr>
        <w:spacing w:line="440" w:lineRule="exact"/>
        <w:ind w:firstLine="480" w:firstLineChars="200"/>
        <w:rPr>
          <w:rFonts w:eastAsia="仿宋_GB2312"/>
          <w:sz w:val="24"/>
          <w:szCs w:val="24"/>
        </w:rPr>
      </w:pPr>
      <w:r>
        <w:rPr>
          <w:rFonts w:eastAsia="仿宋_GB2312"/>
          <w:sz w:val="24"/>
          <w:szCs w:val="24"/>
        </w:rPr>
        <w:t>特此证明。</w:t>
      </w:r>
    </w:p>
    <w:p w14:paraId="624D946F">
      <w:pPr>
        <w:spacing w:line="480" w:lineRule="auto"/>
        <w:rPr>
          <w:rFonts w:eastAsia="仿宋_GB2312"/>
          <w:sz w:val="24"/>
          <w:szCs w:val="24"/>
        </w:rPr>
      </w:pPr>
    </w:p>
    <w:p w14:paraId="5544524B">
      <w:pPr>
        <w:spacing w:line="480" w:lineRule="auto"/>
        <w:rPr>
          <w:rFonts w:eastAsia="仿宋_GB2312"/>
          <w:sz w:val="24"/>
          <w:szCs w:val="24"/>
        </w:rPr>
      </w:pPr>
      <w:r>
        <w:rPr>
          <w:rFonts w:eastAsia="仿宋_GB2312"/>
          <w:sz w:val="24"/>
          <w:szCs w:val="24"/>
        </w:rPr>
        <w:t>附：法定代表人身份证复印件</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4B65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14:paraId="3915FDA2">
            <w:pPr>
              <w:spacing w:line="440" w:lineRule="exact"/>
              <w:rPr>
                <w:rFonts w:eastAsia="仿宋_GB2312"/>
                <w:sz w:val="24"/>
                <w:szCs w:val="24"/>
              </w:rPr>
            </w:pPr>
            <w:r>
              <w:rPr>
                <w:rFonts w:eastAsia="仿宋_GB2312"/>
                <w:sz w:val="24"/>
                <w:szCs w:val="24"/>
              </w:rPr>
              <w:t>身份证正面</w:t>
            </w:r>
          </w:p>
        </w:tc>
        <w:tc>
          <w:tcPr>
            <w:tcW w:w="4264" w:type="dxa"/>
          </w:tcPr>
          <w:p w14:paraId="1BB00965">
            <w:pPr>
              <w:spacing w:line="440" w:lineRule="exact"/>
              <w:rPr>
                <w:rFonts w:eastAsia="仿宋_GB2312"/>
                <w:sz w:val="24"/>
                <w:szCs w:val="24"/>
              </w:rPr>
            </w:pPr>
            <w:r>
              <w:rPr>
                <w:rFonts w:eastAsia="仿宋_GB2312"/>
                <w:sz w:val="24"/>
                <w:szCs w:val="24"/>
              </w:rPr>
              <w:t>身份证反面</w:t>
            </w:r>
          </w:p>
        </w:tc>
      </w:tr>
    </w:tbl>
    <w:p w14:paraId="01292E4A">
      <w:pPr>
        <w:spacing w:line="440" w:lineRule="exact"/>
        <w:ind w:firstLine="480" w:firstLineChars="200"/>
        <w:rPr>
          <w:rFonts w:eastAsia="仿宋_GB2312"/>
          <w:sz w:val="24"/>
          <w:szCs w:val="24"/>
        </w:rPr>
      </w:pPr>
    </w:p>
    <w:p w14:paraId="23E17340">
      <w:pPr>
        <w:spacing w:line="440" w:lineRule="exact"/>
        <w:rPr>
          <w:rFonts w:eastAsia="仿宋_GB2312"/>
          <w:sz w:val="24"/>
          <w:szCs w:val="24"/>
        </w:rPr>
      </w:pPr>
    </w:p>
    <w:p w14:paraId="1B0F11BB">
      <w:pPr>
        <w:tabs>
          <w:tab w:val="left" w:pos="3216"/>
        </w:tabs>
        <w:spacing w:line="440" w:lineRule="exact"/>
        <w:ind w:firstLine="2880" w:firstLineChars="1200"/>
        <w:rPr>
          <w:rFonts w:eastAsia="仿宋_GB2312"/>
          <w:sz w:val="24"/>
          <w:szCs w:val="24"/>
        </w:rPr>
      </w:pPr>
      <w:r>
        <w:rPr>
          <w:rFonts w:eastAsia="仿宋_GB2312"/>
          <w:sz w:val="24"/>
          <w:szCs w:val="24"/>
        </w:rPr>
        <w:t>法定代表人签字：</w:t>
      </w:r>
      <w:r>
        <w:rPr>
          <w:rFonts w:eastAsia="仿宋_GB2312"/>
          <w:sz w:val="24"/>
          <w:szCs w:val="24"/>
          <w:u w:val="single"/>
        </w:rPr>
        <w:t xml:space="preserve">                    </w:t>
      </w:r>
      <w:r>
        <w:rPr>
          <w:rFonts w:eastAsia="仿宋_GB2312"/>
          <w:sz w:val="24"/>
          <w:szCs w:val="24"/>
        </w:rPr>
        <w:t xml:space="preserve"> </w:t>
      </w:r>
    </w:p>
    <w:p w14:paraId="2C27E9BF">
      <w:pPr>
        <w:spacing w:line="440" w:lineRule="exact"/>
        <w:rPr>
          <w:rFonts w:eastAsia="仿宋_GB2312"/>
          <w:sz w:val="24"/>
          <w:szCs w:val="24"/>
        </w:rPr>
      </w:pPr>
      <w:r>
        <w:rPr>
          <w:rFonts w:eastAsia="仿宋_GB2312"/>
          <w:sz w:val="24"/>
          <w:szCs w:val="24"/>
        </w:rPr>
        <w:t xml:space="preserve">                          </w:t>
      </w:r>
    </w:p>
    <w:p w14:paraId="123F0611">
      <w:pPr>
        <w:spacing w:line="440" w:lineRule="exact"/>
        <w:ind w:firstLine="2880" w:firstLineChars="1200"/>
        <w:rPr>
          <w:rFonts w:eastAsia="仿宋_GB2312"/>
          <w:sz w:val="24"/>
          <w:szCs w:val="24"/>
        </w:rPr>
      </w:pPr>
      <w:r>
        <w:rPr>
          <w:rFonts w:eastAsia="仿宋_GB2312"/>
          <w:sz w:val="24"/>
          <w:szCs w:val="24"/>
        </w:rPr>
        <w:t>供应商：</w:t>
      </w:r>
      <w:r>
        <w:rPr>
          <w:rFonts w:eastAsia="仿宋_GB2312"/>
          <w:sz w:val="24"/>
          <w:szCs w:val="24"/>
          <w:u w:val="single"/>
        </w:rPr>
        <w:t xml:space="preserve">                          </w:t>
      </w:r>
      <w:r>
        <w:rPr>
          <w:rFonts w:eastAsia="仿宋_GB2312"/>
          <w:sz w:val="24"/>
          <w:szCs w:val="24"/>
        </w:rPr>
        <w:t>(盖单位章)</w:t>
      </w:r>
    </w:p>
    <w:p w14:paraId="16D86274">
      <w:pPr>
        <w:spacing w:line="440" w:lineRule="exact"/>
        <w:rPr>
          <w:rFonts w:eastAsia="仿宋_GB2312"/>
          <w:sz w:val="24"/>
          <w:szCs w:val="24"/>
        </w:rPr>
      </w:pPr>
    </w:p>
    <w:p w14:paraId="0645B4AE">
      <w:pPr>
        <w:tabs>
          <w:tab w:val="left" w:pos="5220"/>
        </w:tabs>
        <w:spacing w:line="360" w:lineRule="auto"/>
        <w:ind w:firstLine="3840" w:firstLineChars="1600"/>
        <w:rPr>
          <w:rFonts w:eastAsia="仿宋_GB2312"/>
          <w:sz w:val="24"/>
          <w:szCs w:val="24"/>
        </w:rPr>
      </w:pPr>
      <w:r>
        <w:rPr>
          <w:rFonts w:eastAsia="仿宋_GB2312"/>
          <w:sz w:val="24"/>
          <w:szCs w:val="24"/>
        </w:rPr>
        <w:t xml:space="preserve"> </w:t>
      </w: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Pr>
          <w:rFonts w:eastAsia="仿宋_GB2312"/>
          <w:sz w:val="24"/>
          <w:szCs w:val="24"/>
        </w:rPr>
        <w:t>月</w:t>
      </w:r>
      <w:r>
        <w:rPr>
          <w:rFonts w:eastAsia="仿宋_GB2312"/>
          <w:sz w:val="24"/>
          <w:szCs w:val="24"/>
          <w:u w:val="single"/>
        </w:rPr>
        <w:t xml:space="preserve">       </w:t>
      </w:r>
      <w:r>
        <w:rPr>
          <w:rFonts w:eastAsia="仿宋_GB2312"/>
          <w:sz w:val="24"/>
          <w:szCs w:val="24"/>
        </w:rPr>
        <w:t xml:space="preserve">日 </w:t>
      </w:r>
      <w:r>
        <w:rPr>
          <w:sz w:val="24"/>
          <w:szCs w:val="24"/>
        </w:rPr>
        <w:t xml:space="preserve"> </w:t>
      </w:r>
    </w:p>
    <w:p w14:paraId="3B311957">
      <w:pPr>
        <w:spacing w:line="360" w:lineRule="auto"/>
        <w:ind w:firstLine="3840" w:firstLineChars="1600"/>
        <w:rPr>
          <w:rFonts w:eastAsia="仿宋_GB2312"/>
          <w:sz w:val="24"/>
          <w:szCs w:val="24"/>
        </w:rPr>
      </w:pPr>
    </w:p>
    <w:p w14:paraId="65A6018C">
      <w:pPr>
        <w:snapToGrid w:val="0"/>
        <w:spacing w:line="360" w:lineRule="auto"/>
        <w:rPr>
          <w:rFonts w:eastAsia="仿宋_GB2312"/>
          <w:sz w:val="24"/>
          <w:szCs w:val="24"/>
        </w:rPr>
      </w:pPr>
      <w:r>
        <w:rPr>
          <w:rFonts w:eastAsia="仿宋_GB2312"/>
          <w:sz w:val="24"/>
          <w:szCs w:val="24"/>
        </w:rPr>
        <w:t>注：1.此页法定代表人亲自投标、委托代理人投标均适用。</w:t>
      </w:r>
    </w:p>
    <w:p w14:paraId="2C963F69">
      <w:pPr>
        <w:snapToGrid w:val="0"/>
        <w:spacing w:line="360" w:lineRule="auto"/>
        <w:ind w:firstLine="540" w:firstLineChars="225"/>
        <w:rPr>
          <w:rFonts w:eastAsia="仿宋_GB2312"/>
          <w:sz w:val="24"/>
          <w:szCs w:val="24"/>
        </w:rPr>
      </w:pPr>
      <w:r>
        <w:rPr>
          <w:rFonts w:eastAsia="仿宋_GB2312"/>
          <w:sz w:val="24"/>
          <w:szCs w:val="24"/>
        </w:rPr>
        <w:t>2.法定代表人的签字必须是亲笔签名，不得使用印章、签名章或其他电子制版签名代替。</w:t>
      </w:r>
    </w:p>
    <w:p w14:paraId="1B0B7A09">
      <w:pPr>
        <w:spacing w:line="360" w:lineRule="auto"/>
        <w:jc w:val="right"/>
        <w:rPr>
          <w:rFonts w:eastAsia="仿宋_GB2312"/>
          <w:sz w:val="24"/>
          <w:szCs w:val="24"/>
        </w:rPr>
        <w:sectPr>
          <w:pgSz w:w="11906" w:h="16838"/>
          <w:pgMar w:top="1304" w:right="1797" w:bottom="1134" w:left="1797" w:header="851" w:footer="992" w:gutter="0"/>
          <w:pgNumType w:start="1"/>
          <w:cols w:space="720" w:num="1"/>
          <w:docGrid w:type="lines" w:linePitch="312" w:charSpace="0"/>
        </w:sectPr>
      </w:pPr>
    </w:p>
    <w:p w14:paraId="22556B69">
      <w:pPr>
        <w:spacing w:line="360" w:lineRule="auto"/>
        <w:jc w:val="center"/>
        <w:rPr>
          <w:rFonts w:eastAsia="仿宋_GB2312"/>
          <w:b/>
          <w:sz w:val="24"/>
          <w:szCs w:val="24"/>
        </w:rPr>
      </w:pPr>
      <w:bookmarkStart w:id="8" w:name="_Toc79578879"/>
      <w:r>
        <w:rPr>
          <w:rFonts w:eastAsia="仿宋_GB2312"/>
          <w:b/>
          <w:sz w:val="24"/>
          <w:szCs w:val="24"/>
        </w:rPr>
        <w:t>二、</w:t>
      </w:r>
      <w:bookmarkEnd w:id="8"/>
      <w:r>
        <w:rPr>
          <w:rFonts w:eastAsia="仿宋_GB2312"/>
          <w:b/>
          <w:sz w:val="24"/>
          <w:szCs w:val="24"/>
        </w:rPr>
        <w:t>法定代表人身份证明或授权委托书</w:t>
      </w:r>
    </w:p>
    <w:p w14:paraId="42066134">
      <w:pPr>
        <w:autoSpaceDE w:val="0"/>
        <w:autoSpaceDN w:val="0"/>
        <w:adjustRightInd w:val="0"/>
        <w:spacing w:line="360" w:lineRule="auto"/>
        <w:jc w:val="center"/>
        <w:rPr>
          <w:rFonts w:eastAsia="仿宋_GB2312"/>
          <w:b/>
          <w:sz w:val="24"/>
          <w:szCs w:val="24"/>
        </w:rPr>
      </w:pPr>
      <w:r>
        <w:rPr>
          <w:rFonts w:eastAsia="仿宋_GB2312"/>
          <w:b/>
          <w:sz w:val="24"/>
          <w:szCs w:val="24"/>
        </w:rPr>
        <w:t>（二）授权委托书（如果有）</w:t>
      </w:r>
    </w:p>
    <w:p w14:paraId="09CBDB5D">
      <w:pPr>
        <w:snapToGrid w:val="0"/>
        <w:spacing w:line="360" w:lineRule="auto"/>
        <w:ind w:firstLine="480" w:firstLineChars="200"/>
        <w:rPr>
          <w:rFonts w:eastAsia="仿宋_GB2312"/>
          <w:sz w:val="24"/>
          <w:szCs w:val="24"/>
        </w:rPr>
      </w:pPr>
      <w:r>
        <w:rPr>
          <w:rFonts w:eastAsia="仿宋_GB2312"/>
          <w:sz w:val="24"/>
          <w:szCs w:val="24"/>
        </w:rPr>
        <w:t>本人：</w:t>
      </w:r>
      <w:r>
        <w:rPr>
          <w:rFonts w:eastAsia="仿宋_GB2312"/>
          <w:sz w:val="24"/>
          <w:szCs w:val="24"/>
          <w:u w:val="single"/>
        </w:rPr>
        <w:t xml:space="preserve">     </w:t>
      </w:r>
      <w:r>
        <w:rPr>
          <w:rFonts w:eastAsia="仿宋_GB2312"/>
          <w:sz w:val="24"/>
          <w:szCs w:val="24"/>
        </w:rPr>
        <w:t>（姓名）系</w:t>
      </w:r>
      <w:r>
        <w:rPr>
          <w:rFonts w:eastAsia="仿宋_GB2312"/>
          <w:sz w:val="24"/>
          <w:szCs w:val="24"/>
          <w:u w:val="single"/>
        </w:rPr>
        <w:t xml:space="preserve">                  </w:t>
      </w:r>
      <w:r>
        <w:rPr>
          <w:rFonts w:eastAsia="仿宋_GB2312"/>
          <w:sz w:val="24"/>
          <w:szCs w:val="24"/>
        </w:rPr>
        <w:t>（供应商名称）的法定代表人，现授权委托</w:t>
      </w:r>
      <w:r>
        <w:rPr>
          <w:rFonts w:eastAsia="仿宋_GB2312"/>
          <w:sz w:val="24"/>
          <w:szCs w:val="24"/>
          <w:u w:val="single"/>
        </w:rPr>
        <w:t xml:space="preserve">     </w:t>
      </w:r>
      <w:r>
        <w:rPr>
          <w:rFonts w:eastAsia="仿宋_GB2312"/>
          <w:sz w:val="24"/>
          <w:szCs w:val="24"/>
        </w:rPr>
        <w:t>（身份证号：</w:t>
      </w:r>
      <w:r>
        <w:rPr>
          <w:rFonts w:eastAsia="仿宋_GB2312"/>
          <w:sz w:val="24"/>
          <w:szCs w:val="24"/>
          <w:u w:val="single"/>
        </w:rPr>
        <w:t xml:space="preserve">               </w:t>
      </w:r>
      <w:r>
        <w:rPr>
          <w:rFonts w:eastAsia="仿宋_GB2312"/>
          <w:sz w:val="24"/>
          <w:szCs w:val="24"/>
        </w:rPr>
        <w:t>）为我单位委托代理人，以本单位的名义参加</w:t>
      </w:r>
      <w:r>
        <w:rPr>
          <w:rFonts w:eastAsia="仿宋_GB2312"/>
          <w:sz w:val="24"/>
          <w:szCs w:val="24"/>
          <w:u w:val="single"/>
        </w:rPr>
        <w:t xml:space="preserve"> </w:t>
      </w:r>
      <w:r>
        <w:rPr>
          <w:rFonts w:eastAsia="仿宋_GB2312"/>
          <w:snapToGrid w:val="0"/>
          <w:sz w:val="24"/>
          <w:szCs w:val="24"/>
          <w:u w:val="single"/>
        </w:rPr>
        <w:t xml:space="preserve">                            </w:t>
      </w:r>
      <w:r>
        <w:rPr>
          <w:rFonts w:eastAsia="仿宋_GB2312"/>
          <w:sz w:val="24"/>
          <w:szCs w:val="24"/>
        </w:rPr>
        <w:t>的报价活动。代理人在报价活动过程中所签署的一切文件和处理与之有关的一切事务，我方均予以承认，其法律后果由我方承担。代理人无转委托权。</w:t>
      </w:r>
    </w:p>
    <w:p w14:paraId="6CAB3F99">
      <w:pPr>
        <w:snapToGrid w:val="0"/>
        <w:spacing w:line="360" w:lineRule="auto"/>
        <w:ind w:firstLine="480" w:firstLineChars="200"/>
        <w:rPr>
          <w:rFonts w:eastAsia="仿宋_GB2312"/>
          <w:sz w:val="24"/>
          <w:szCs w:val="24"/>
        </w:rPr>
      </w:pPr>
      <w:r>
        <w:rPr>
          <w:rFonts w:eastAsia="仿宋_GB2312"/>
          <w:sz w:val="24"/>
          <w:szCs w:val="24"/>
        </w:rPr>
        <w:t>委托期限：从本授权委托书签署之日起至报价有效期截止。</w:t>
      </w:r>
    </w:p>
    <w:p w14:paraId="00B3AEFF">
      <w:pPr>
        <w:snapToGrid w:val="0"/>
        <w:spacing w:line="360" w:lineRule="auto"/>
        <w:rPr>
          <w:rFonts w:eastAsia="仿宋_GB2312"/>
          <w:sz w:val="24"/>
          <w:szCs w:val="24"/>
        </w:rPr>
      </w:pPr>
      <w:r>
        <w:rPr>
          <w:rFonts w:eastAsia="仿宋_GB2312"/>
          <w:sz w:val="24"/>
          <w:szCs w:val="24"/>
        </w:rPr>
        <w:t>附：法定代表人和授权代理人身份证复印件。</w:t>
      </w: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0707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14:paraId="084D1B05">
            <w:pPr>
              <w:spacing w:line="440" w:lineRule="exact"/>
              <w:rPr>
                <w:rFonts w:eastAsia="仿宋_GB2312"/>
                <w:sz w:val="24"/>
                <w:szCs w:val="24"/>
              </w:rPr>
            </w:pPr>
            <w:r>
              <w:rPr>
                <w:rFonts w:eastAsia="仿宋_GB2312"/>
                <w:sz w:val="24"/>
                <w:szCs w:val="24"/>
              </w:rPr>
              <w:t>法定代表人身份证正面</w:t>
            </w:r>
          </w:p>
        </w:tc>
        <w:tc>
          <w:tcPr>
            <w:tcW w:w="4037" w:type="dxa"/>
          </w:tcPr>
          <w:p w14:paraId="11125301">
            <w:pPr>
              <w:spacing w:line="440" w:lineRule="exact"/>
              <w:rPr>
                <w:rFonts w:eastAsia="仿宋_GB2312"/>
                <w:sz w:val="24"/>
                <w:szCs w:val="24"/>
              </w:rPr>
            </w:pPr>
            <w:r>
              <w:rPr>
                <w:rFonts w:eastAsia="仿宋_GB2312"/>
                <w:sz w:val="24"/>
                <w:szCs w:val="24"/>
              </w:rPr>
              <w:t>法定代表人身份证反面</w:t>
            </w:r>
          </w:p>
        </w:tc>
      </w:tr>
    </w:tbl>
    <w:p w14:paraId="36207287">
      <w:pPr>
        <w:snapToGrid w:val="0"/>
        <w:spacing w:line="360" w:lineRule="auto"/>
        <w:rPr>
          <w:rFonts w:eastAsia="仿宋_GB2312"/>
          <w:sz w:val="24"/>
          <w:szCs w:val="24"/>
        </w:rPr>
      </w:pP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3873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14:paraId="15D67A80">
            <w:pPr>
              <w:snapToGrid w:val="0"/>
              <w:spacing w:line="360" w:lineRule="auto"/>
              <w:rPr>
                <w:rFonts w:eastAsia="仿宋_GB2312"/>
                <w:sz w:val="24"/>
                <w:szCs w:val="24"/>
              </w:rPr>
            </w:pPr>
            <w:r>
              <w:rPr>
                <w:rFonts w:eastAsia="仿宋_GB2312"/>
                <w:sz w:val="24"/>
                <w:szCs w:val="24"/>
              </w:rPr>
              <w:t>授权代理人身份证正面</w:t>
            </w:r>
          </w:p>
        </w:tc>
        <w:tc>
          <w:tcPr>
            <w:tcW w:w="4007" w:type="dxa"/>
          </w:tcPr>
          <w:p w14:paraId="60264D60">
            <w:pPr>
              <w:snapToGrid w:val="0"/>
              <w:spacing w:line="360" w:lineRule="auto"/>
              <w:rPr>
                <w:rFonts w:eastAsia="仿宋_GB2312"/>
                <w:sz w:val="24"/>
                <w:szCs w:val="24"/>
              </w:rPr>
            </w:pPr>
            <w:r>
              <w:rPr>
                <w:rFonts w:eastAsia="仿宋_GB2312"/>
                <w:sz w:val="24"/>
                <w:szCs w:val="24"/>
              </w:rPr>
              <w:t>授权代理人身份证反面</w:t>
            </w:r>
          </w:p>
        </w:tc>
      </w:tr>
    </w:tbl>
    <w:p w14:paraId="38F72719">
      <w:pPr>
        <w:snapToGrid w:val="0"/>
        <w:spacing w:line="360" w:lineRule="auto"/>
        <w:ind w:firstLine="3000" w:firstLineChars="1250"/>
        <w:rPr>
          <w:rFonts w:eastAsia="仿宋_GB2312"/>
          <w:sz w:val="24"/>
          <w:szCs w:val="24"/>
        </w:rPr>
      </w:pPr>
    </w:p>
    <w:p w14:paraId="7CA3C438">
      <w:pPr>
        <w:snapToGrid w:val="0"/>
        <w:spacing w:line="600" w:lineRule="auto"/>
        <w:ind w:firstLine="3000" w:firstLineChars="1250"/>
        <w:rPr>
          <w:rFonts w:eastAsia="仿宋_GB2312"/>
          <w:sz w:val="24"/>
          <w:szCs w:val="24"/>
        </w:rPr>
      </w:pPr>
      <w:r>
        <w:rPr>
          <w:rFonts w:eastAsia="仿宋_GB2312"/>
          <w:sz w:val="24"/>
          <w:szCs w:val="24"/>
        </w:rPr>
        <w:t>供应商：</w:t>
      </w:r>
      <w:r>
        <w:rPr>
          <w:rFonts w:eastAsia="仿宋_GB2312"/>
          <w:sz w:val="24"/>
          <w:szCs w:val="24"/>
          <w:u w:val="single"/>
        </w:rPr>
        <w:t xml:space="preserve">                        </w:t>
      </w:r>
      <w:r>
        <w:rPr>
          <w:rFonts w:eastAsia="仿宋_GB2312"/>
          <w:sz w:val="24"/>
          <w:szCs w:val="24"/>
        </w:rPr>
        <w:t>（盖章）</w:t>
      </w:r>
    </w:p>
    <w:p w14:paraId="31AB85E4">
      <w:pPr>
        <w:snapToGrid w:val="0"/>
        <w:spacing w:line="600" w:lineRule="auto"/>
        <w:ind w:right="480"/>
        <w:jc w:val="center"/>
        <w:rPr>
          <w:rFonts w:eastAsia="仿宋_GB2312"/>
          <w:sz w:val="24"/>
          <w:szCs w:val="24"/>
          <w:u w:val="single"/>
        </w:rPr>
      </w:pPr>
      <w:r>
        <w:rPr>
          <w:rFonts w:eastAsia="仿宋_GB2312"/>
          <w:sz w:val="24"/>
          <w:szCs w:val="24"/>
        </w:rPr>
        <w:t xml:space="preserve">     法定代表人（签字）：</w:t>
      </w:r>
      <w:r>
        <w:rPr>
          <w:rFonts w:eastAsia="仿宋_GB2312"/>
          <w:sz w:val="24"/>
          <w:szCs w:val="24"/>
          <w:u w:val="single"/>
        </w:rPr>
        <w:t xml:space="preserve">                     </w:t>
      </w:r>
    </w:p>
    <w:p w14:paraId="1C3C44E3">
      <w:pPr>
        <w:snapToGrid w:val="0"/>
        <w:spacing w:line="600" w:lineRule="auto"/>
        <w:jc w:val="center"/>
        <w:rPr>
          <w:rFonts w:eastAsia="仿宋_GB2312"/>
          <w:sz w:val="24"/>
          <w:szCs w:val="24"/>
          <w:u w:val="single"/>
        </w:rPr>
      </w:pPr>
      <w:r>
        <w:rPr>
          <w:rFonts w:eastAsia="仿宋_GB2312"/>
          <w:sz w:val="24"/>
          <w:szCs w:val="24"/>
        </w:rPr>
        <w:t xml:space="preserve"> 委托代理人（签字）：</w:t>
      </w:r>
      <w:r>
        <w:rPr>
          <w:rFonts w:eastAsia="仿宋_GB2312"/>
          <w:sz w:val="24"/>
          <w:szCs w:val="24"/>
          <w:u w:val="single"/>
        </w:rPr>
        <w:t xml:space="preserve">                    </w:t>
      </w:r>
    </w:p>
    <w:p w14:paraId="4F2B6FC3">
      <w:pPr>
        <w:snapToGrid w:val="0"/>
        <w:spacing w:line="600" w:lineRule="auto"/>
        <w:jc w:val="right"/>
        <w:rPr>
          <w:rFonts w:eastAsia="仿宋_GB2312"/>
          <w:sz w:val="24"/>
          <w:szCs w:val="24"/>
        </w:rPr>
      </w:pP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Pr>
          <w:rFonts w:eastAsia="仿宋_GB2312"/>
          <w:sz w:val="24"/>
          <w:szCs w:val="24"/>
        </w:rPr>
        <w:t>月</w:t>
      </w:r>
      <w:r>
        <w:rPr>
          <w:rFonts w:eastAsia="仿宋_GB2312"/>
          <w:sz w:val="24"/>
          <w:szCs w:val="24"/>
          <w:u w:val="single"/>
        </w:rPr>
        <w:t xml:space="preserve">           </w:t>
      </w:r>
      <w:r>
        <w:rPr>
          <w:rFonts w:eastAsia="仿宋_GB2312"/>
          <w:sz w:val="24"/>
          <w:szCs w:val="24"/>
        </w:rPr>
        <w:t>日</w:t>
      </w:r>
    </w:p>
    <w:p w14:paraId="506B67A0">
      <w:pPr>
        <w:snapToGrid w:val="0"/>
        <w:spacing w:line="360" w:lineRule="auto"/>
        <w:jc w:val="center"/>
        <w:rPr>
          <w:rFonts w:eastAsia="仿宋_GB2312"/>
          <w:sz w:val="24"/>
          <w:szCs w:val="24"/>
        </w:rPr>
      </w:pPr>
      <w:bookmarkStart w:id="9" w:name="_Toc258402278"/>
    </w:p>
    <w:p w14:paraId="43735285">
      <w:pPr>
        <w:snapToGrid w:val="0"/>
        <w:spacing w:line="360" w:lineRule="auto"/>
        <w:rPr>
          <w:rFonts w:eastAsia="仿宋_GB2312"/>
          <w:sz w:val="24"/>
          <w:szCs w:val="24"/>
        </w:rPr>
      </w:pPr>
      <w:r>
        <w:rPr>
          <w:rFonts w:eastAsia="仿宋_GB2312"/>
          <w:sz w:val="24"/>
          <w:szCs w:val="24"/>
        </w:rPr>
        <w:t>注：此页仅适用于法定代表人委托委托代理人报价时；</w:t>
      </w:r>
      <w:r>
        <w:rPr>
          <w:rFonts w:eastAsia="仿宋_GB2312"/>
          <w:b/>
          <w:bCs/>
          <w:sz w:val="24"/>
          <w:szCs w:val="24"/>
        </w:rPr>
        <w:t>法定代表人自行报价不附此页</w:t>
      </w:r>
      <w:r>
        <w:rPr>
          <w:rFonts w:eastAsia="仿宋_GB2312"/>
          <w:sz w:val="24"/>
          <w:szCs w:val="24"/>
        </w:rPr>
        <w:t>。</w:t>
      </w:r>
    </w:p>
    <w:bookmarkEnd w:id="9"/>
    <w:p w14:paraId="3A3199A6">
      <w:pPr>
        <w:spacing w:line="360" w:lineRule="auto"/>
        <w:jc w:val="right"/>
        <w:rPr>
          <w:rFonts w:eastAsia="仿宋_GB2312"/>
          <w:sz w:val="24"/>
          <w:szCs w:val="24"/>
        </w:rPr>
        <w:sectPr>
          <w:pgSz w:w="11906" w:h="16838"/>
          <w:pgMar w:top="1304" w:right="1797" w:bottom="1247" w:left="1797" w:header="851" w:footer="992" w:gutter="0"/>
          <w:pgNumType w:start="1"/>
          <w:cols w:space="720" w:num="1"/>
          <w:docGrid w:type="lines" w:linePitch="312" w:charSpace="0"/>
        </w:sectPr>
      </w:pPr>
    </w:p>
    <w:p w14:paraId="1BE04D46">
      <w:pPr>
        <w:numPr>
          <w:ilvl w:val="0"/>
          <w:numId w:val="2"/>
        </w:numPr>
        <w:spacing w:line="360" w:lineRule="auto"/>
        <w:jc w:val="center"/>
        <w:rPr>
          <w:rFonts w:eastAsia="仿宋_GB2312"/>
          <w:b/>
          <w:color w:val="auto"/>
          <w:sz w:val="24"/>
          <w:szCs w:val="24"/>
        </w:rPr>
      </w:pPr>
      <w:r>
        <w:rPr>
          <w:rFonts w:eastAsia="仿宋_GB2312"/>
          <w:b/>
          <w:color w:val="auto"/>
          <w:sz w:val="24"/>
          <w:szCs w:val="24"/>
        </w:rPr>
        <w:t>供应商证明材料</w:t>
      </w:r>
    </w:p>
    <w:p w14:paraId="0701335A">
      <w:pPr>
        <w:snapToGrid w:val="0"/>
        <w:spacing w:line="360" w:lineRule="auto"/>
        <w:ind w:firstLine="540" w:firstLineChars="225"/>
        <w:jc w:val="left"/>
        <w:rPr>
          <w:rFonts w:eastAsia="仿宋_GB2312"/>
          <w:color w:val="auto"/>
          <w:sz w:val="24"/>
          <w:szCs w:val="24"/>
        </w:rPr>
      </w:pPr>
      <w:r>
        <w:rPr>
          <w:rFonts w:eastAsia="仿宋_GB2312"/>
          <w:color w:val="auto"/>
          <w:sz w:val="24"/>
          <w:szCs w:val="24"/>
        </w:rPr>
        <w:t>一 提供有效营业执照、资质证书</w:t>
      </w:r>
      <w:r>
        <w:rPr>
          <w:rFonts w:hint="eastAsia" w:eastAsia="仿宋_GB2312"/>
          <w:color w:val="auto"/>
          <w:sz w:val="24"/>
          <w:szCs w:val="24"/>
        </w:rPr>
        <w:t>（若有）</w:t>
      </w:r>
      <w:r>
        <w:rPr>
          <w:rFonts w:eastAsia="仿宋_GB2312"/>
          <w:color w:val="auto"/>
          <w:sz w:val="24"/>
          <w:szCs w:val="24"/>
        </w:rPr>
        <w:t>、开户许可证副本复印件</w:t>
      </w:r>
      <w:r>
        <w:rPr>
          <w:rFonts w:hint="eastAsia" w:eastAsia="仿宋_GB2312"/>
          <w:color w:val="auto"/>
          <w:sz w:val="24"/>
          <w:szCs w:val="24"/>
        </w:rPr>
        <w:t>。</w:t>
      </w:r>
    </w:p>
    <w:p w14:paraId="541BAAA8">
      <w:pPr>
        <w:snapToGrid w:val="0"/>
        <w:spacing w:line="360" w:lineRule="auto"/>
        <w:ind w:firstLine="540" w:firstLineChars="225"/>
        <w:jc w:val="left"/>
        <w:rPr>
          <w:rFonts w:eastAsia="仿宋_GB2312"/>
          <w:color w:val="auto"/>
          <w:sz w:val="24"/>
          <w:szCs w:val="24"/>
        </w:rPr>
      </w:pPr>
      <w:r>
        <w:rPr>
          <w:rFonts w:eastAsia="仿宋_GB2312"/>
          <w:color w:val="auto"/>
          <w:sz w:val="24"/>
          <w:szCs w:val="24"/>
        </w:rPr>
        <w:t xml:space="preserve">二 </w:t>
      </w:r>
      <w:r>
        <w:rPr>
          <w:rFonts w:hint="eastAsia" w:eastAsia="仿宋_GB2312"/>
          <w:color w:val="auto"/>
          <w:sz w:val="24"/>
          <w:szCs w:val="24"/>
        </w:rPr>
        <w:t xml:space="preserve">近3年（2022年1月1日至今）至少完成1项一级及以上公路项目的安全稳定风险评估报告编制（提供合同全本原件复印件和成果报告扉页复印件,时间以合同为准）。 </w:t>
      </w:r>
    </w:p>
    <w:p w14:paraId="6AA8C611">
      <w:pPr>
        <w:snapToGrid w:val="0"/>
        <w:spacing w:line="360" w:lineRule="auto"/>
        <w:ind w:firstLine="540" w:firstLineChars="225"/>
        <w:jc w:val="left"/>
        <w:rPr>
          <w:rFonts w:hint="eastAsia" w:eastAsia="仿宋_GB2312"/>
          <w:color w:val="auto"/>
          <w:sz w:val="24"/>
          <w:szCs w:val="24"/>
        </w:rPr>
      </w:pPr>
      <w:r>
        <w:rPr>
          <w:rFonts w:eastAsia="仿宋_GB2312"/>
          <w:color w:val="auto"/>
          <w:sz w:val="24"/>
          <w:szCs w:val="24"/>
        </w:rPr>
        <w:t xml:space="preserve">三 </w:t>
      </w:r>
      <w:r>
        <w:rPr>
          <w:rFonts w:hint="eastAsia" w:eastAsia="仿宋_GB2312"/>
          <w:color w:val="auto"/>
          <w:sz w:val="24"/>
          <w:szCs w:val="24"/>
        </w:rPr>
        <w:t>拟委任项目主要人员应提供相应业绩成果扉页或签字页及供应商为其缴纳的连续6个月社保缴费证明等（包括但不限于职称证和身份证）原件扫描件。</w:t>
      </w:r>
    </w:p>
    <w:p w14:paraId="6BB7C6AD">
      <w:pPr>
        <w:pStyle w:val="16"/>
        <w:ind w:left="900" w:hanging="480"/>
        <w:rPr>
          <w:sz w:val="24"/>
        </w:rPr>
      </w:pPr>
    </w:p>
    <w:p w14:paraId="044DDD9A">
      <w:pPr>
        <w:pStyle w:val="16"/>
        <w:ind w:left="900" w:hanging="480"/>
        <w:rPr>
          <w:rFonts w:eastAsia="仿宋_GB2312"/>
          <w:sz w:val="24"/>
        </w:rPr>
      </w:pPr>
      <w:r>
        <w:rPr>
          <w:rFonts w:eastAsia="仿宋_GB2312"/>
          <w:sz w:val="24"/>
        </w:rPr>
        <w:t>注：1.以上资料必须逐一加盖单位公章。</w:t>
      </w:r>
    </w:p>
    <w:p w14:paraId="3A3B0F13">
      <w:pPr>
        <w:pStyle w:val="16"/>
        <w:ind w:left="900" w:hanging="480"/>
        <w:rPr>
          <w:sz w:val="24"/>
        </w:rPr>
      </w:pPr>
      <w:r>
        <w:rPr>
          <w:rFonts w:eastAsia="仿宋_GB2312"/>
          <w:sz w:val="24"/>
        </w:rPr>
        <w:t xml:space="preserve">    2.委任项目主要人员的社保缴费证明应是在供应商单位从本项目报价截止当月或前1个月起算，往前推6个月及以上的连续、不间断的社保缴费证明。</w:t>
      </w:r>
    </w:p>
    <w:p w14:paraId="06BE133D">
      <w:pPr>
        <w:rPr>
          <w:sz w:val="24"/>
          <w:szCs w:val="24"/>
        </w:rPr>
      </w:pPr>
    </w:p>
    <w:p w14:paraId="44F4BBA4">
      <w:pPr>
        <w:numPr>
          <w:ilvl w:val="0"/>
          <w:numId w:val="2"/>
        </w:numPr>
        <w:spacing w:line="360" w:lineRule="auto"/>
        <w:jc w:val="center"/>
        <w:rPr>
          <w:rFonts w:eastAsia="仿宋_GB2312"/>
          <w:b/>
          <w:sz w:val="24"/>
          <w:szCs w:val="24"/>
        </w:rPr>
      </w:pPr>
      <w:r>
        <w:rPr>
          <w:rFonts w:eastAsia="仿宋_GB2312"/>
          <w:b/>
          <w:sz w:val="24"/>
          <w:szCs w:val="24"/>
        </w:rPr>
        <w:t>其他</w:t>
      </w:r>
    </w:p>
    <w:p w14:paraId="7BCF4A0E">
      <w:pPr>
        <w:pStyle w:val="22"/>
        <w:ind w:left="319" w:firstLine="480"/>
        <w:rPr>
          <w:rFonts w:ascii="Times New Roman" w:hAnsi="Times New Roman" w:eastAsia="仿宋_GB2312"/>
          <w:sz w:val="24"/>
          <w:szCs w:val="24"/>
        </w:rPr>
      </w:pPr>
    </w:p>
    <w:p w14:paraId="5A59063A">
      <w:pPr>
        <w:ind w:firstLine="480" w:firstLineChars="200"/>
        <w:rPr>
          <w:rFonts w:eastAsia="仿宋_GB2312"/>
          <w:sz w:val="24"/>
          <w:szCs w:val="24"/>
        </w:rPr>
      </w:pPr>
    </w:p>
    <w:p w14:paraId="2450C4C0">
      <w:pPr>
        <w:widowControl/>
        <w:jc w:val="left"/>
        <w:rPr>
          <w:rFonts w:eastAsia="仿宋_GB2312"/>
          <w:sz w:val="24"/>
          <w:szCs w:val="24"/>
        </w:rPr>
      </w:pPr>
      <w:r>
        <w:rPr>
          <w:rFonts w:eastAsia="仿宋_GB2312"/>
          <w:sz w:val="24"/>
          <w:szCs w:val="24"/>
        </w:rPr>
        <w:br w:type="page"/>
      </w:r>
    </w:p>
    <w:p w14:paraId="4998BFE2">
      <w:pPr>
        <w:spacing w:line="360" w:lineRule="auto"/>
        <w:jc w:val="left"/>
        <w:rPr>
          <w:b/>
          <w:bCs/>
          <w:spacing w:val="-20"/>
          <w:kern w:val="0"/>
          <w:sz w:val="24"/>
          <w:szCs w:val="24"/>
        </w:rPr>
      </w:pPr>
      <w:r>
        <w:rPr>
          <w:rFonts w:eastAsia="仿宋_GB2312"/>
          <w:snapToGrid w:val="0"/>
          <w:kern w:val="0"/>
          <w:sz w:val="24"/>
          <w:szCs w:val="24"/>
        </w:rPr>
        <w:t>合同模板</w:t>
      </w:r>
    </w:p>
    <w:p w14:paraId="795B602F">
      <w:pPr>
        <w:spacing w:line="540" w:lineRule="exact"/>
        <w:jc w:val="center"/>
        <w:rPr>
          <w:rFonts w:eastAsia="方正小标宋_GBK"/>
          <w:kern w:val="0"/>
          <w:sz w:val="36"/>
          <w:szCs w:val="36"/>
        </w:rPr>
      </w:pPr>
      <w:r>
        <w:rPr>
          <w:rFonts w:hint="eastAsia" w:eastAsia="方正小标宋_GBK"/>
          <w:kern w:val="0"/>
          <w:sz w:val="36"/>
          <w:szCs w:val="36"/>
        </w:rPr>
        <w:t>攀枝花至盐源高速公路JQ11等8处弃土场稳定性评估和溃坝动力模拟分析报告编制</w:t>
      </w:r>
      <w:r>
        <w:rPr>
          <w:rFonts w:eastAsia="方正小标宋_GBK"/>
          <w:kern w:val="0"/>
          <w:sz w:val="36"/>
          <w:szCs w:val="36"/>
        </w:rPr>
        <w:t>技术服务合同</w:t>
      </w:r>
    </w:p>
    <w:p w14:paraId="4185F039">
      <w:pPr>
        <w:widowControl/>
        <w:snapToGrid w:val="0"/>
        <w:spacing w:before="100" w:beforeAutospacing="1" w:after="100" w:afterAutospacing="1" w:line="360" w:lineRule="auto"/>
        <w:jc w:val="left"/>
        <w:rPr>
          <w:kern w:val="0"/>
          <w:sz w:val="24"/>
          <w:szCs w:val="24"/>
        </w:rPr>
      </w:pPr>
      <w:r>
        <w:rPr>
          <w:kern w:val="0"/>
          <w:sz w:val="24"/>
          <w:szCs w:val="24"/>
        </w:rPr>
        <w:br w:type="textWrapping"/>
      </w:r>
    </w:p>
    <w:p w14:paraId="4A5D8C01">
      <w:pPr>
        <w:widowControl/>
        <w:snapToGrid w:val="0"/>
        <w:spacing w:before="100" w:beforeAutospacing="1" w:after="100" w:afterAutospacing="1" w:line="360" w:lineRule="auto"/>
        <w:jc w:val="left"/>
        <w:rPr>
          <w:kern w:val="0"/>
          <w:sz w:val="24"/>
          <w:szCs w:val="24"/>
        </w:rPr>
      </w:pPr>
    </w:p>
    <w:p w14:paraId="01D0DF47">
      <w:pPr>
        <w:pStyle w:val="16"/>
        <w:ind w:left="900" w:hanging="480"/>
        <w:rPr>
          <w:sz w:val="24"/>
        </w:rPr>
      </w:pPr>
    </w:p>
    <w:p w14:paraId="45126343">
      <w:pPr>
        <w:rPr>
          <w:sz w:val="24"/>
          <w:szCs w:val="24"/>
        </w:rPr>
      </w:pPr>
    </w:p>
    <w:p w14:paraId="6D76CB38">
      <w:pPr>
        <w:pStyle w:val="16"/>
        <w:ind w:left="900" w:hanging="480"/>
        <w:rPr>
          <w:sz w:val="24"/>
        </w:rPr>
      </w:pPr>
    </w:p>
    <w:p w14:paraId="015F17F0">
      <w:pPr>
        <w:widowControl/>
        <w:snapToGrid w:val="0"/>
        <w:spacing w:before="100" w:beforeAutospacing="1" w:after="100" w:afterAutospacing="1" w:line="360" w:lineRule="auto"/>
        <w:jc w:val="left"/>
        <w:rPr>
          <w:kern w:val="0"/>
          <w:sz w:val="24"/>
          <w:szCs w:val="24"/>
        </w:rPr>
      </w:pPr>
    </w:p>
    <w:p w14:paraId="3825F794">
      <w:pPr>
        <w:widowControl/>
        <w:snapToGrid w:val="0"/>
        <w:spacing w:before="100" w:beforeAutospacing="1" w:after="100" w:afterAutospacing="1" w:line="360" w:lineRule="auto"/>
        <w:jc w:val="left"/>
        <w:rPr>
          <w:kern w:val="0"/>
          <w:sz w:val="24"/>
          <w:szCs w:val="24"/>
        </w:rPr>
      </w:pPr>
    </w:p>
    <w:p w14:paraId="2397B4BF">
      <w:pPr>
        <w:widowControl/>
        <w:snapToGrid w:val="0"/>
        <w:spacing w:line="360" w:lineRule="auto"/>
        <w:ind w:left="15" w:leftChars="7" w:firstLine="600" w:firstLineChars="250"/>
        <w:jc w:val="left"/>
        <w:rPr>
          <w:kern w:val="0"/>
          <w:sz w:val="24"/>
          <w:szCs w:val="24"/>
        </w:rPr>
      </w:pPr>
      <w:r>
        <w:rPr>
          <w:kern w:val="0"/>
          <w:sz w:val="24"/>
          <w:szCs w:val="24"/>
        </w:rPr>
        <w:br w:type="textWrapping"/>
      </w:r>
      <w:r>
        <w:rPr>
          <w:kern w:val="0"/>
          <w:sz w:val="24"/>
          <w:szCs w:val="24"/>
        </w:rPr>
        <w:t>工 程 名 称：</w:t>
      </w:r>
      <w:r>
        <w:rPr>
          <w:rFonts w:hint="eastAsia"/>
          <w:kern w:val="0"/>
          <w:sz w:val="24"/>
          <w:szCs w:val="24"/>
        </w:rPr>
        <w:t>攀枝花至盐源高速公路JQ11等8处弃土场稳定性评估和溃坝动力模拟分析报告编制</w:t>
      </w:r>
    </w:p>
    <w:p w14:paraId="27CD4925">
      <w:pPr>
        <w:widowControl/>
        <w:snapToGrid w:val="0"/>
        <w:spacing w:line="360" w:lineRule="auto"/>
        <w:jc w:val="left"/>
        <w:rPr>
          <w:kern w:val="0"/>
          <w:sz w:val="24"/>
          <w:szCs w:val="24"/>
        </w:rPr>
      </w:pPr>
      <w:r>
        <w:rPr>
          <w:kern w:val="0"/>
          <w:sz w:val="24"/>
          <w:szCs w:val="24"/>
        </w:rPr>
        <w:t>工 程 地 点：</w:t>
      </w:r>
      <w:r>
        <w:rPr>
          <w:rFonts w:hint="eastAsia"/>
          <w:kern w:val="0"/>
          <w:sz w:val="24"/>
          <w:szCs w:val="24"/>
        </w:rPr>
        <w:t>四川省凉山彝族自治州</w:t>
      </w:r>
    </w:p>
    <w:p w14:paraId="5C230E03">
      <w:pPr>
        <w:widowControl/>
        <w:snapToGrid w:val="0"/>
        <w:spacing w:line="360" w:lineRule="auto"/>
        <w:jc w:val="left"/>
        <w:rPr>
          <w:kern w:val="0"/>
          <w:sz w:val="24"/>
          <w:szCs w:val="24"/>
        </w:rPr>
      </w:pPr>
      <w:r>
        <w:rPr>
          <w:kern w:val="0"/>
          <w:sz w:val="24"/>
          <w:szCs w:val="24"/>
        </w:rPr>
        <w:t>合 同 编 号：</w:t>
      </w:r>
    </w:p>
    <w:p w14:paraId="47DD7463">
      <w:pPr>
        <w:widowControl/>
        <w:snapToGrid w:val="0"/>
        <w:spacing w:line="360" w:lineRule="auto"/>
        <w:jc w:val="left"/>
        <w:rPr>
          <w:kern w:val="0"/>
          <w:sz w:val="24"/>
          <w:szCs w:val="24"/>
          <w:u w:val="single"/>
        </w:rPr>
      </w:pPr>
      <w:r>
        <w:rPr>
          <w:kern w:val="0"/>
          <w:sz w:val="24"/>
          <w:szCs w:val="24"/>
        </w:rPr>
        <w:t>资质证书等级：</w:t>
      </w:r>
    </w:p>
    <w:p w14:paraId="15C6D801">
      <w:pPr>
        <w:widowControl/>
        <w:snapToGrid w:val="0"/>
        <w:spacing w:line="360" w:lineRule="auto"/>
        <w:jc w:val="left"/>
        <w:rPr>
          <w:rFonts w:eastAsia="仿宋_GB2312"/>
          <w:snapToGrid w:val="0"/>
          <w:kern w:val="0"/>
          <w:sz w:val="24"/>
          <w:szCs w:val="24"/>
        </w:rPr>
      </w:pPr>
      <w:r>
        <w:rPr>
          <w:kern w:val="0"/>
          <w:sz w:val="24"/>
          <w:szCs w:val="24"/>
        </w:rPr>
        <w:t>发包人（甲方）：四川省交通勘察设计研究院有限公司</w:t>
      </w:r>
      <w:r>
        <w:rPr>
          <w:kern w:val="0"/>
          <w:sz w:val="24"/>
          <w:szCs w:val="24"/>
        </w:rPr>
        <w:br w:type="textWrapping"/>
      </w:r>
      <w:r>
        <w:rPr>
          <w:kern w:val="0"/>
          <w:sz w:val="24"/>
          <w:szCs w:val="24"/>
        </w:rPr>
        <w:t>供应商（乙方）：</w:t>
      </w:r>
      <w:r>
        <w:rPr>
          <w:rFonts w:eastAsia="仿宋_GB2312"/>
          <w:snapToGrid w:val="0"/>
          <w:kern w:val="0"/>
          <w:sz w:val="24"/>
          <w:szCs w:val="24"/>
        </w:rPr>
        <w:t xml:space="preserve"> </w:t>
      </w:r>
    </w:p>
    <w:p w14:paraId="08595045">
      <w:pPr>
        <w:widowControl/>
        <w:snapToGrid w:val="0"/>
        <w:spacing w:line="360" w:lineRule="auto"/>
        <w:jc w:val="left"/>
        <w:rPr>
          <w:kern w:val="0"/>
          <w:sz w:val="24"/>
          <w:szCs w:val="24"/>
        </w:rPr>
      </w:pPr>
      <w:r>
        <w:rPr>
          <w:kern w:val="0"/>
          <w:sz w:val="24"/>
          <w:szCs w:val="24"/>
        </w:rPr>
        <w:t>签 订 日 期：202</w:t>
      </w:r>
      <w:r>
        <w:rPr>
          <w:rFonts w:hint="eastAsia"/>
          <w:kern w:val="0"/>
          <w:sz w:val="24"/>
          <w:szCs w:val="24"/>
        </w:rPr>
        <w:t>5</w:t>
      </w:r>
      <w:r>
        <w:rPr>
          <w:kern w:val="0"/>
          <w:sz w:val="24"/>
          <w:szCs w:val="24"/>
        </w:rPr>
        <w:t>年  月  日</w:t>
      </w:r>
    </w:p>
    <w:p w14:paraId="6569197E">
      <w:pPr>
        <w:spacing w:line="540" w:lineRule="exact"/>
        <w:jc w:val="center"/>
        <w:rPr>
          <w:b/>
          <w:bCs/>
          <w:kern w:val="0"/>
          <w:sz w:val="24"/>
          <w:szCs w:val="24"/>
        </w:rPr>
      </w:pPr>
      <w:r>
        <w:rPr>
          <w:kern w:val="0"/>
          <w:sz w:val="24"/>
          <w:szCs w:val="24"/>
        </w:rPr>
        <w:br w:type="page"/>
      </w:r>
      <w:r>
        <w:rPr>
          <w:rFonts w:hint="eastAsia" w:eastAsia="方正小标宋_GBK"/>
          <w:kern w:val="0"/>
          <w:sz w:val="36"/>
          <w:szCs w:val="36"/>
        </w:rPr>
        <w:t>攀枝花至盐源高速公路JQ11等8处弃土场稳定性评估和溃坝动力模拟分析报告编制</w:t>
      </w:r>
      <w:r>
        <w:rPr>
          <w:rFonts w:eastAsia="方正小标宋_GBK"/>
          <w:kern w:val="0"/>
          <w:sz w:val="36"/>
          <w:szCs w:val="36"/>
        </w:rPr>
        <w:t>技术服务合同</w:t>
      </w:r>
    </w:p>
    <w:p w14:paraId="0C03D9FB">
      <w:pPr>
        <w:spacing w:line="540" w:lineRule="exact"/>
        <w:jc w:val="center"/>
        <w:rPr>
          <w:rFonts w:eastAsia="方正小标宋_GBK"/>
          <w:kern w:val="0"/>
          <w:sz w:val="36"/>
          <w:szCs w:val="36"/>
        </w:rPr>
      </w:pPr>
    </w:p>
    <w:p w14:paraId="0ACE388B">
      <w:pPr>
        <w:pStyle w:val="16"/>
        <w:ind w:left="900" w:hanging="480"/>
        <w:rPr>
          <w:sz w:val="24"/>
        </w:rPr>
      </w:pPr>
    </w:p>
    <w:p w14:paraId="245BF57A">
      <w:pPr>
        <w:spacing w:line="460" w:lineRule="exact"/>
        <w:ind w:firstLine="480" w:firstLineChars="200"/>
        <w:rPr>
          <w:rFonts w:eastAsia="仿宋_GB2312"/>
          <w:snapToGrid w:val="0"/>
          <w:kern w:val="0"/>
          <w:sz w:val="24"/>
          <w:szCs w:val="24"/>
        </w:rPr>
      </w:pPr>
      <w:r>
        <w:rPr>
          <w:rFonts w:eastAsia="仿宋_GB2312"/>
          <w:snapToGrid w:val="0"/>
          <w:kern w:val="0"/>
          <w:sz w:val="24"/>
          <w:szCs w:val="24"/>
        </w:rPr>
        <w:t>甲 方：四川省交通勘察设计研究院有限公司</w:t>
      </w:r>
    </w:p>
    <w:p w14:paraId="76E52002">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乙 方： </w:t>
      </w:r>
    </w:p>
    <w:p w14:paraId="4F09F2FF">
      <w:pPr>
        <w:spacing w:line="460" w:lineRule="exact"/>
        <w:ind w:firstLine="480" w:firstLineChars="200"/>
        <w:rPr>
          <w:rFonts w:eastAsia="仿宋_GB2312"/>
          <w:snapToGrid w:val="0"/>
          <w:kern w:val="0"/>
          <w:sz w:val="24"/>
          <w:szCs w:val="24"/>
        </w:rPr>
      </w:pPr>
      <w:r>
        <w:rPr>
          <w:rFonts w:eastAsia="仿宋_GB2312"/>
          <w:snapToGrid w:val="0"/>
          <w:kern w:val="0"/>
          <w:sz w:val="24"/>
          <w:szCs w:val="24"/>
        </w:rPr>
        <w:t>统一社会信用代码：</w:t>
      </w:r>
    </w:p>
    <w:p w14:paraId="4BBC0DA8">
      <w:pPr>
        <w:spacing w:line="460" w:lineRule="exact"/>
        <w:ind w:firstLine="480" w:firstLineChars="200"/>
        <w:rPr>
          <w:rFonts w:eastAsia="仿宋_GB2312"/>
          <w:snapToGrid w:val="0"/>
          <w:kern w:val="0"/>
          <w:sz w:val="24"/>
          <w:szCs w:val="24"/>
        </w:rPr>
      </w:pPr>
      <w:r>
        <w:rPr>
          <w:rFonts w:eastAsia="仿宋_GB2312"/>
          <w:snapToGrid w:val="0"/>
          <w:kern w:val="0"/>
          <w:sz w:val="24"/>
          <w:szCs w:val="24"/>
        </w:rPr>
        <w:t>资质等级及专业类别：</w:t>
      </w:r>
    </w:p>
    <w:p w14:paraId="0864CAE3">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资质证书有效期： </w:t>
      </w:r>
    </w:p>
    <w:p w14:paraId="1DC82CAD">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法定代表人姓名： </w:t>
      </w:r>
    </w:p>
    <w:p w14:paraId="2366A3E5">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项目负责人姓名： </w:t>
      </w:r>
    </w:p>
    <w:p w14:paraId="33AA40C3">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依据《中华人民共和国民法典》、《中华人民共和国建筑法》及行业管理有关法律、法规和规章，遵循平等、自愿、公平和诚实信用的原则，鉴于甲方已承担</w:t>
      </w:r>
      <w:r>
        <w:rPr>
          <w:rFonts w:hint="eastAsia" w:eastAsia="仿宋_GB2312"/>
          <w:snapToGrid w:val="0"/>
          <w:sz w:val="24"/>
          <w:szCs w:val="24"/>
          <w:u w:val="single"/>
        </w:rPr>
        <w:t>攀枝花至盐源高速公路</w:t>
      </w:r>
      <w:r>
        <w:rPr>
          <w:rFonts w:eastAsia="仿宋_GB2312"/>
          <w:snapToGrid w:val="0"/>
          <w:kern w:val="0"/>
          <w:sz w:val="24"/>
          <w:szCs w:val="24"/>
        </w:rPr>
        <w:t>的</w:t>
      </w:r>
      <w:r>
        <w:rPr>
          <w:rFonts w:eastAsia="仿宋_GB2312"/>
          <w:snapToGrid w:val="0"/>
          <w:kern w:val="0"/>
          <w:sz w:val="24"/>
          <w:szCs w:val="24"/>
          <w:u w:val="single"/>
        </w:rPr>
        <w:t>前期</w:t>
      </w:r>
      <w:r>
        <w:rPr>
          <w:rFonts w:eastAsia="仿宋_GB2312"/>
          <w:snapToGrid w:val="0"/>
          <w:kern w:val="0"/>
          <w:sz w:val="24"/>
          <w:szCs w:val="24"/>
        </w:rPr>
        <w:t>工作，经</w:t>
      </w:r>
      <w:bookmarkStart w:id="10" w:name="_Hlk82769871"/>
      <w:r>
        <w:rPr>
          <w:rFonts w:eastAsia="仿宋_GB2312"/>
          <w:snapToGrid w:val="0"/>
          <w:kern w:val="0"/>
          <w:sz w:val="24"/>
          <w:szCs w:val="24"/>
          <w:u w:val="single"/>
        </w:rPr>
        <w:sym w:font="Wingdings 2" w:char="0052"/>
      </w:r>
      <w:bookmarkEnd w:id="10"/>
      <w:r>
        <w:rPr>
          <w:rFonts w:eastAsia="仿宋_GB2312"/>
          <w:snapToGrid w:val="0"/>
          <w:kern w:val="0"/>
          <w:sz w:val="24"/>
          <w:szCs w:val="24"/>
          <w:u w:val="single"/>
        </w:rPr>
        <w:t>询价采购□公开招标</w:t>
      </w:r>
      <w:r>
        <w:rPr>
          <w:rFonts w:eastAsia="仿宋_GB2312"/>
          <w:snapToGrid w:val="0"/>
          <w:kern w:val="0"/>
          <w:sz w:val="24"/>
          <w:szCs w:val="24"/>
        </w:rPr>
        <w:t>，甲乙双方就</w:t>
      </w:r>
      <w:r>
        <w:rPr>
          <w:rFonts w:hint="eastAsia" w:eastAsia="仿宋_GB2312"/>
          <w:snapToGrid w:val="0"/>
          <w:kern w:val="0"/>
          <w:sz w:val="24"/>
          <w:szCs w:val="24"/>
          <w:u w:val="single"/>
        </w:rPr>
        <w:t>攀枝花至盐源高速公路JQ11等8处弃土场稳定性评估和溃坝动力模拟分析报告编制</w:t>
      </w:r>
      <w:r>
        <w:rPr>
          <w:rFonts w:eastAsia="仿宋_GB2312"/>
          <w:snapToGrid w:val="0"/>
          <w:kern w:val="0"/>
          <w:sz w:val="24"/>
          <w:szCs w:val="24"/>
        </w:rPr>
        <w:t>技术服务事宜达成一致，订立本合同。</w:t>
      </w:r>
    </w:p>
    <w:p w14:paraId="25835800">
      <w:pPr>
        <w:pStyle w:val="85"/>
        <w:spacing w:line="436" w:lineRule="exact"/>
        <w:rPr>
          <w:rFonts w:ascii="Times New Roman" w:hAnsi="Times New Roman"/>
          <w:szCs w:val="24"/>
        </w:rPr>
      </w:pPr>
      <w:r>
        <w:rPr>
          <w:rFonts w:ascii="Times New Roman" w:hAnsi="Times New Roman"/>
          <w:snapToGrid w:val="0"/>
          <w:szCs w:val="24"/>
        </w:rPr>
        <w:t>第一条本合同签订依据</w:t>
      </w:r>
    </w:p>
    <w:p w14:paraId="3AD3C5B4">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1.1《中华人民共和国民法典》</w:t>
      </w:r>
      <w:r>
        <w:rPr>
          <w:rFonts w:hint="eastAsia" w:eastAsia="仿宋_GB2312"/>
          <w:snapToGrid w:val="0"/>
          <w:kern w:val="0"/>
          <w:sz w:val="24"/>
          <w:szCs w:val="24"/>
        </w:rPr>
        <w:t>、</w:t>
      </w:r>
      <w:r>
        <w:rPr>
          <w:rFonts w:eastAsia="仿宋_GB2312"/>
          <w:snapToGrid w:val="0"/>
          <w:kern w:val="0"/>
          <w:sz w:val="24"/>
          <w:szCs w:val="24"/>
        </w:rPr>
        <w:t>《中华人民共和国建筑法》</w:t>
      </w:r>
      <w:r>
        <w:rPr>
          <w:rFonts w:hint="eastAsia" w:eastAsia="仿宋_GB2312"/>
          <w:snapToGrid w:val="0"/>
          <w:kern w:val="0"/>
          <w:sz w:val="24"/>
          <w:szCs w:val="24"/>
        </w:rPr>
        <w:t>、</w:t>
      </w:r>
      <w:r>
        <w:rPr>
          <w:rFonts w:eastAsia="仿宋_GB2312"/>
          <w:snapToGrid w:val="0"/>
          <w:kern w:val="0"/>
          <w:sz w:val="24"/>
          <w:szCs w:val="24"/>
        </w:rPr>
        <w:t>《建设工程勘察设计管理条例》</w:t>
      </w:r>
      <w:r>
        <w:rPr>
          <w:rFonts w:hint="eastAsia" w:eastAsia="仿宋_GB2312"/>
          <w:snapToGrid w:val="0"/>
          <w:kern w:val="0"/>
          <w:sz w:val="24"/>
          <w:szCs w:val="24"/>
        </w:rPr>
        <w:t>、</w:t>
      </w:r>
      <w:r>
        <w:rPr>
          <w:rFonts w:eastAsia="仿宋_GB2312"/>
          <w:snapToGrid w:val="0"/>
          <w:kern w:val="0"/>
          <w:sz w:val="24"/>
          <w:szCs w:val="24"/>
        </w:rPr>
        <w:t>《安全生产法》和《四川省安全生产条例》等。</w:t>
      </w:r>
    </w:p>
    <w:p w14:paraId="69544BBA">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1.2国家及地方、行业有关本专业的法律、法规及相关技术标准和要求。</w:t>
      </w:r>
    </w:p>
    <w:p w14:paraId="61EA0765">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1.3建设工程批准文件。</w:t>
      </w:r>
    </w:p>
    <w:p w14:paraId="6A2A8BF3">
      <w:pPr>
        <w:pStyle w:val="85"/>
        <w:spacing w:line="436" w:lineRule="exact"/>
        <w:rPr>
          <w:rFonts w:ascii="Times New Roman" w:hAnsi="Times New Roman"/>
          <w:snapToGrid w:val="0"/>
          <w:szCs w:val="24"/>
        </w:rPr>
      </w:pPr>
      <w:r>
        <w:rPr>
          <w:rFonts w:ascii="Times New Roman" w:hAnsi="Times New Roman"/>
          <w:snapToGrid w:val="0"/>
          <w:szCs w:val="24"/>
        </w:rPr>
        <w:t>第二条合同文件的优先次序</w:t>
      </w:r>
    </w:p>
    <w:p w14:paraId="7D47D672">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7FAC634">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2.1合同协议书及其附件</w:t>
      </w:r>
    </w:p>
    <w:p w14:paraId="7A929D37">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2.2 工作通知单</w:t>
      </w:r>
    </w:p>
    <w:p w14:paraId="65A64F7F">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2.3甲方要求及委托书</w:t>
      </w:r>
    </w:p>
    <w:p w14:paraId="3844B98B">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2.4报价文件</w:t>
      </w:r>
    </w:p>
    <w:p w14:paraId="3F8ECD62">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2.5询价问价</w:t>
      </w:r>
    </w:p>
    <w:p w14:paraId="6469F1CE">
      <w:pPr>
        <w:pStyle w:val="85"/>
        <w:spacing w:line="436" w:lineRule="exact"/>
        <w:rPr>
          <w:rFonts w:ascii="Times New Roman" w:hAnsi="Times New Roman"/>
          <w:kern w:val="0"/>
          <w:szCs w:val="24"/>
        </w:rPr>
      </w:pPr>
      <w:r>
        <w:rPr>
          <w:rFonts w:ascii="Times New Roman" w:hAnsi="Times New Roman"/>
          <w:snapToGrid w:val="0"/>
          <w:kern w:val="0"/>
          <w:szCs w:val="24"/>
        </w:rPr>
        <w:t>第三条</w:t>
      </w:r>
      <w:r>
        <w:rPr>
          <w:rFonts w:ascii="Times New Roman" w:hAnsi="Times New Roman"/>
          <w:snapToGrid w:val="0"/>
          <w:szCs w:val="24"/>
        </w:rPr>
        <w:t>本合同项目概况</w:t>
      </w:r>
    </w:p>
    <w:p w14:paraId="32BD7ACD">
      <w:pPr>
        <w:pStyle w:val="85"/>
        <w:spacing w:line="436" w:lineRule="exact"/>
        <w:ind w:firstLine="480" w:firstLineChars="200"/>
        <w:rPr>
          <w:rFonts w:ascii="Times New Roman" w:hAnsi="Times New Roman"/>
          <w:b w:val="0"/>
          <w:bCs/>
          <w:snapToGrid w:val="0"/>
          <w:szCs w:val="21"/>
        </w:rPr>
      </w:pPr>
      <w:r>
        <w:rPr>
          <w:rFonts w:hint="eastAsia" w:ascii="Times New Roman" w:hAnsi="Times New Roman"/>
          <w:b w:val="0"/>
          <w:bCs/>
          <w:snapToGrid w:val="0"/>
          <w:szCs w:val="21"/>
        </w:rPr>
        <w:t>攀盐高速位于攀枝花市及凉山彝族自治州盐源县境内，采用四车道高速公路标准建设，设计速度80公里/小时，路基宽度25.5米，路线全长约131km。</w:t>
      </w:r>
    </w:p>
    <w:p w14:paraId="571D10DE">
      <w:pPr>
        <w:pStyle w:val="85"/>
        <w:spacing w:line="436" w:lineRule="exact"/>
        <w:rPr>
          <w:rFonts w:ascii="Times New Roman" w:hAnsi="Times New Roman"/>
          <w:snapToGrid w:val="0"/>
          <w:kern w:val="0"/>
          <w:szCs w:val="24"/>
        </w:rPr>
      </w:pPr>
      <w:r>
        <w:rPr>
          <w:rFonts w:ascii="Times New Roman" w:hAnsi="Times New Roman"/>
          <w:snapToGrid w:val="0"/>
          <w:szCs w:val="24"/>
        </w:rPr>
        <w:t>第四条 工作内容和</w:t>
      </w:r>
      <w:r>
        <w:rPr>
          <w:rFonts w:ascii="Times New Roman" w:hAnsi="Times New Roman"/>
          <w:snapToGrid w:val="0"/>
          <w:kern w:val="0"/>
          <w:szCs w:val="24"/>
        </w:rPr>
        <w:t>质量要求</w:t>
      </w:r>
    </w:p>
    <w:p w14:paraId="191D12A7">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4.1乙方的工作内容为：</w:t>
      </w:r>
      <w:r>
        <w:rPr>
          <w:rFonts w:hint="eastAsia" w:eastAsia="仿宋_GB2312"/>
          <w:snapToGrid w:val="0"/>
          <w:kern w:val="0"/>
          <w:sz w:val="24"/>
          <w:szCs w:val="24"/>
        </w:rPr>
        <w:t>完成本项目JQ11等8处弃土场稳定性评估和溃坝动力模拟分析报告编制，具体包括：</w:t>
      </w:r>
    </w:p>
    <w:p w14:paraId="5AD63A37">
      <w:pPr>
        <w:snapToGrid w:val="0"/>
        <w:spacing w:line="436" w:lineRule="exact"/>
        <w:ind w:firstLine="480" w:firstLineChars="200"/>
        <w:rPr>
          <w:rFonts w:eastAsia="仿宋_GB2312"/>
          <w:snapToGrid w:val="0"/>
          <w:kern w:val="0"/>
          <w:sz w:val="24"/>
          <w:szCs w:val="24"/>
        </w:rPr>
      </w:pPr>
      <w:r>
        <w:rPr>
          <w:rFonts w:hint="eastAsia" w:eastAsia="仿宋_GB2312"/>
          <w:snapToGrid w:val="0"/>
          <w:kern w:val="0"/>
          <w:sz w:val="24"/>
          <w:szCs w:val="24"/>
        </w:rPr>
        <w:t>4.1.1本次评估内容包含弃渣场的地质条件及周边环境介绍、渣场稳定性分析、拦挡工程稳定性分析、渣场排导设施过流能力以及安全稳定性评价等；</w:t>
      </w:r>
    </w:p>
    <w:p w14:paraId="5D41A759">
      <w:pPr>
        <w:snapToGrid w:val="0"/>
        <w:spacing w:line="436" w:lineRule="exact"/>
        <w:ind w:firstLine="480" w:firstLineChars="200"/>
        <w:rPr>
          <w:rFonts w:eastAsia="仿宋_GB2312"/>
          <w:snapToGrid w:val="0"/>
          <w:kern w:val="0"/>
          <w:sz w:val="24"/>
          <w:szCs w:val="24"/>
        </w:rPr>
      </w:pPr>
      <w:r>
        <w:rPr>
          <w:rFonts w:hint="eastAsia" w:eastAsia="仿宋_GB2312"/>
          <w:snapToGrid w:val="0"/>
          <w:kern w:val="0"/>
          <w:sz w:val="24"/>
          <w:szCs w:val="24"/>
        </w:rPr>
        <w:t>4.1.2弃渣场下游一定范围内有公共设施、基础设施、工业企业、居民点等敏感因素，应有论证并有明确的“不存在重大影响”的论证结论，并进行溃坝分析；</w:t>
      </w:r>
    </w:p>
    <w:p w14:paraId="21010009">
      <w:pPr>
        <w:snapToGrid w:val="0"/>
        <w:spacing w:line="436" w:lineRule="exact"/>
        <w:ind w:firstLine="480" w:firstLineChars="200"/>
        <w:rPr>
          <w:rFonts w:eastAsia="仿宋_GB2312"/>
          <w:snapToGrid w:val="0"/>
          <w:kern w:val="0"/>
          <w:sz w:val="24"/>
          <w:szCs w:val="24"/>
        </w:rPr>
      </w:pPr>
      <w:r>
        <w:rPr>
          <w:rFonts w:hint="eastAsia" w:eastAsia="仿宋_GB2312"/>
          <w:snapToGrid w:val="0"/>
          <w:kern w:val="0"/>
          <w:sz w:val="24"/>
          <w:szCs w:val="24"/>
        </w:rPr>
        <w:t>4.1.3应进行相应的渗流分析、水工模拟等(若需要)。</w:t>
      </w:r>
    </w:p>
    <w:p w14:paraId="3E6B2E63">
      <w:pPr>
        <w:pStyle w:val="7"/>
        <w:snapToGrid w:val="0"/>
        <w:spacing w:line="436" w:lineRule="exact"/>
      </w:pPr>
      <w:r>
        <w:t xml:space="preserve">  </w:t>
      </w:r>
      <w:r>
        <w:rPr>
          <w:rFonts w:eastAsia="仿宋_GB2312"/>
          <w:snapToGrid w:val="0"/>
          <w:kern w:val="0"/>
        </w:rPr>
        <w:t xml:space="preserve">  4.2. </w:t>
      </w:r>
      <w:r>
        <w:rPr>
          <w:rFonts w:hint="eastAsia" w:eastAsia="仿宋_GB2312"/>
          <w:snapToGrid w:val="0"/>
          <w:kern w:val="0"/>
        </w:rPr>
        <w:t>乙方提供的成果文件</w:t>
      </w:r>
      <w:r>
        <w:rPr>
          <w:rFonts w:hint="eastAsia" w:eastAsia="仿宋_GB2312"/>
          <w:snapToGrid w:val="0"/>
          <w:kern w:val="0"/>
          <w:lang w:val="en-US" w:eastAsia="zh-CN"/>
        </w:rPr>
        <w:t>应符合</w:t>
      </w:r>
      <w:r>
        <w:rPr>
          <w:rFonts w:eastAsia="仿宋_GB2312"/>
          <w:snapToGrid w:val="0"/>
          <w:kern w:val="0"/>
        </w:rPr>
        <w:t>国家、省有关法律、法规规定。</w:t>
      </w:r>
    </w:p>
    <w:p w14:paraId="30DF72FE">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4.3</w:t>
      </w:r>
      <w:r>
        <w:rPr>
          <w:rFonts w:hint="eastAsia" w:eastAsia="仿宋_GB2312"/>
          <w:snapToGrid w:val="0"/>
          <w:kern w:val="0"/>
          <w:sz w:val="24"/>
          <w:szCs w:val="24"/>
        </w:rPr>
        <w:t>乙方提供的成果文件质量应通过专家评审。</w:t>
      </w:r>
    </w:p>
    <w:p w14:paraId="074B4AC0">
      <w:pPr>
        <w:pStyle w:val="85"/>
        <w:spacing w:line="436" w:lineRule="exact"/>
        <w:rPr>
          <w:rFonts w:ascii="Times New Roman" w:hAnsi="Times New Roman"/>
          <w:snapToGrid w:val="0"/>
          <w:szCs w:val="24"/>
          <w:highlight w:val="none"/>
        </w:rPr>
      </w:pPr>
      <w:r>
        <w:rPr>
          <w:rFonts w:ascii="Times New Roman" w:hAnsi="Times New Roman"/>
          <w:snapToGrid w:val="0"/>
          <w:szCs w:val="24"/>
          <w:highlight w:val="none"/>
        </w:rPr>
        <w:t>第五条 甲方向乙方提交的有关基础资料、文件及时间</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94"/>
        <w:gridCol w:w="1418"/>
        <w:gridCol w:w="791"/>
      </w:tblGrid>
      <w:tr w14:paraId="1EA5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6E7F5E5F">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序号</w:t>
            </w:r>
          </w:p>
        </w:tc>
        <w:tc>
          <w:tcPr>
            <w:tcW w:w="4394" w:type="dxa"/>
            <w:tcBorders>
              <w:top w:val="single" w:color="auto" w:sz="4" w:space="0"/>
              <w:left w:val="single" w:color="auto" w:sz="4" w:space="0"/>
              <w:bottom w:val="single" w:color="auto" w:sz="4" w:space="0"/>
              <w:right w:val="single" w:color="auto" w:sz="4" w:space="0"/>
            </w:tcBorders>
          </w:tcPr>
          <w:p w14:paraId="27544C50">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文件名称</w:t>
            </w:r>
          </w:p>
        </w:tc>
        <w:tc>
          <w:tcPr>
            <w:tcW w:w="1418" w:type="dxa"/>
            <w:tcBorders>
              <w:top w:val="single" w:color="auto" w:sz="4" w:space="0"/>
              <w:left w:val="single" w:color="auto" w:sz="4" w:space="0"/>
              <w:bottom w:val="single" w:color="auto" w:sz="4" w:space="0"/>
              <w:right w:val="single" w:color="auto" w:sz="4" w:space="0"/>
            </w:tcBorders>
          </w:tcPr>
          <w:p w14:paraId="68005ED2">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提交时间</w:t>
            </w:r>
          </w:p>
        </w:tc>
        <w:tc>
          <w:tcPr>
            <w:tcW w:w="791" w:type="dxa"/>
            <w:tcBorders>
              <w:top w:val="single" w:color="auto" w:sz="4" w:space="0"/>
              <w:left w:val="single" w:color="auto" w:sz="4" w:space="0"/>
              <w:bottom w:val="single" w:color="auto" w:sz="4" w:space="0"/>
              <w:right w:val="single" w:color="auto" w:sz="4" w:space="0"/>
            </w:tcBorders>
          </w:tcPr>
          <w:p w14:paraId="71427C3F">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备注</w:t>
            </w:r>
          </w:p>
        </w:tc>
      </w:tr>
      <w:tr w14:paraId="6A26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C74FBD8">
            <w:pPr>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1</w:t>
            </w:r>
          </w:p>
        </w:tc>
        <w:tc>
          <w:tcPr>
            <w:tcW w:w="4394" w:type="dxa"/>
            <w:tcBorders>
              <w:top w:val="single" w:color="auto" w:sz="4" w:space="0"/>
              <w:left w:val="single" w:color="auto" w:sz="4" w:space="0"/>
              <w:bottom w:val="single" w:color="auto" w:sz="4" w:space="0"/>
              <w:right w:val="single" w:color="auto" w:sz="4" w:space="0"/>
            </w:tcBorders>
          </w:tcPr>
          <w:p w14:paraId="3EEE7745">
            <w:pPr>
              <w:spacing w:line="436" w:lineRule="exact"/>
              <w:jc w:val="center"/>
              <w:rPr>
                <w:rFonts w:eastAsia="仿宋_GB2312"/>
                <w:snapToGrid w:val="0"/>
                <w:kern w:val="0"/>
                <w:sz w:val="24"/>
                <w:szCs w:val="24"/>
                <w:highlight w:val="none"/>
              </w:rPr>
            </w:pPr>
            <w:r>
              <w:rPr>
                <w:rFonts w:hint="eastAsia" w:eastAsia="仿宋_GB2312"/>
                <w:snapToGrid w:val="0"/>
                <w:kern w:val="0"/>
                <w:sz w:val="24"/>
                <w:szCs w:val="24"/>
                <w:highlight w:val="none"/>
              </w:rPr>
              <w:t>弃土场设计图、工程地质勘察报告</w:t>
            </w:r>
          </w:p>
        </w:tc>
        <w:tc>
          <w:tcPr>
            <w:tcW w:w="1418" w:type="dxa"/>
            <w:tcBorders>
              <w:top w:val="single" w:color="auto" w:sz="4" w:space="0"/>
              <w:left w:val="single" w:color="auto" w:sz="4" w:space="0"/>
              <w:bottom w:val="single" w:color="auto" w:sz="4" w:space="0"/>
              <w:right w:val="single" w:color="auto" w:sz="4" w:space="0"/>
            </w:tcBorders>
            <w:vAlign w:val="center"/>
          </w:tcPr>
          <w:p w14:paraId="5D6257D3">
            <w:pPr>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按需提交</w:t>
            </w:r>
          </w:p>
        </w:tc>
        <w:tc>
          <w:tcPr>
            <w:tcW w:w="791" w:type="dxa"/>
            <w:tcBorders>
              <w:top w:val="single" w:color="auto" w:sz="4" w:space="0"/>
              <w:left w:val="single" w:color="auto" w:sz="4" w:space="0"/>
              <w:bottom w:val="single" w:color="auto" w:sz="4" w:space="0"/>
              <w:right w:val="single" w:color="auto" w:sz="4" w:space="0"/>
            </w:tcBorders>
            <w:vAlign w:val="center"/>
          </w:tcPr>
          <w:p w14:paraId="20D0179D">
            <w:pPr>
              <w:spacing w:line="436" w:lineRule="exact"/>
              <w:jc w:val="center"/>
              <w:rPr>
                <w:rFonts w:eastAsia="仿宋_GB2312"/>
                <w:snapToGrid w:val="0"/>
                <w:kern w:val="0"/>
                <w:sz w:val="24"/>
                <w:szCs w:val="24"/>
                <w:highlight w:val="none"/>
              </w:rPr>
            </w:pPr>
          </w:p>
        </w:tc>
      </w:tr>
    </w:tbl>
    <w:p w14:paraId="69BAA0CA">
      <w:pPr>
        <w:pStyle w:val="85"/>
        <w:spacing w:line="460" w:lineRule="exact"/>
        <w:rPr>
          <w:rFonts w:ascii="Times New Roman" w:hAnsi="Times New Roman"/>
          <w:snapToGrid w:val="0"/>
          <w:szCs w:val="24"/>
        </w:rPr>
      </w:pPr>
      <w:r>
        <w:rPr>
          <w:rFonts w:ascii="Times New Roman" w:hAnsi="Times New Roman"/>
          <w:snapToGrid w:val="0"/>
          <w:szCs w:val="24"/>
        </w:rPr>
        <w:t>第六条 乙方向甲方交付的成果、份数、地点及时间</w:t>
      </w:r>
    </w:p>
    <w:p w14:paraId="37B74837">
      <w:pPr>
        <w:spacing w:line="460" w:lineRule="exact"/>
        <w:ind w:firstLine="480" w:firstLineChars="200"/>
        <w:rPr>
          <w:rFonts w:eastAsia="仿宋_GB2312"/>
          <w:snapToGrid w:val="0"/>
          <w:kern w:val="0"/>
          <w:sz w:val="24"/>
          <w:szCs w:val="24"/>
          <w:highlight w:val="none"/>
        </w:rPr>
      </w:pPr>
      <w:r>
        <w:rPr>
          <w:rFonts w:hint="eastAsia" w:eastAsia="仿宋_GB2312"/>
          <w:snapToGrid w:val="0"/>
          <w:kern w:val="0"/>
          <w:sz w:val="24"/>
          <w:szCs w:val="24"/>
        </w:rPr>
        <w:t>6.1 乙方向甲方交付的成果文件为4.1所承担内容的成果，其中，正式成果文件纸</w:t>
      </w:r>
      <w:r>
        <w:rPr>
          <w:rFonts w:hint="eastAsia" w:eastAsia="仿宋_GB2312"/>
          <w:snapToGrid w:val="0"/>
          <w:kern w:val="0"/>
          <w:sz w:val="24"/>
          <w:szCs w:val="24"/>
          <w:highlight w:val="none"/>
        </w:rPr>
        <w:t>质版</w:t>
      </w:r>
      <w:r>
        <w:rPr>
          <w:rFonts w:hint="eastAsia" w:eastAsia="仿宋_GB2312"/>
          <w:snapToGrid w:val="0"/>
          <w:kern w:val="0"/>
          <w:sz w:val="24"/>
          <w:szCs w:val="24"/>
          <w:highlight w:val="none"/>
          <w:u w:val="single"/>
        </w:rPr>
        <w:t xml:space="preserve"> </w:t>
      </w:r>
      <w:r>
        <w:rPr>
          <w:rFonts w:eastAsia="仿宋_GB2312"/>
          <w:snapToGrid w:val="0"/>
          <w:kern w:val="0"/>
          <w:sz w:val="24"/>
          <w:szCs w:val="24"/>
          <w:highlight w:val="none"/>
          <w:u w:val="single"/>
        </w:rPr>
        <w:t>5</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套，可编辑电子成果文件</w:t>
      </w:r>
      <w:r>
        <w:rPr>
          <w:rFonts w:hint="eastAsia" w:eastAsia="仿宋_GB2312"/>
          <w:snapToGrid w:val="0"/>
          <w:kern w:val="0"/>
          <w:sz w:val="24"/>
          <w:szCs w:val="24"/>
          <w:highlight w:val="none"/>
          <w:u w:val="single"/>
        </w:rPr>
        <w:t xml:space="preserve"> </w:t>
      </w:r>
      <w:r>
        <w:rPr>
          <w:rFonts w:eastAsia="仿宋_GB2312"/>
          <w:snapToGrid w:val="0"/>
          <w:kern w:val="0"/>
          <w:sz w:val="24"/>
          <w:szCs w:val="24"/>
          <w:highlight w:val="none"/>
          <w:u w:val="single"/>
        </w:rPr>
        <w:t>1</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套。</w:t>
      </w:r>
    </w:p>
    <w:p w14:paraId="0D5A2FDD">
      <w:pPr>
        <w:spacing w:line="460" w:lineRule="exact"/>
        <w:ind w:firstLine="480" w:firstLineChars="200"/>
        <w:rPr>
          <w:rFonts w:eastAsia="仿宋_GB2312"/>
          <w:snapToGrid w:val="0"/>
          <w:kern w:val="0"/>
          <w:sz w:val="28"/>
          <w:highlight w:val="none"/>
        </w:rPr>
      </w:pPr>
      <w:r>
        <w:rPr>
          <w:rFonts w:hint="eastAsia" w:eastAsia="仿宋_GB2312"/>
          <w:snapToGrid w:val="0"/>
          <w:kern w:val="0"/>
          <w:sz w:val="24"/>
          <w:szCs w:val="24"/>
          <w:highlight w:val="none"/>
        </w:rPr>
        <w:t>6.2 工期要求：自甲方向乙方提供基础资料之日起算，乙方应于</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u w:val="single"/>
          <w:lang w:val="en-US" w:eastAsia="zh-CN"/>
        </w:rPr>
        <w:t xml:space="preserve"> </w:t>
      </w:r>
      <w:r>
        <w:rPr>
          <w:rFonts w:hint="eastAsia" w:eastAsia="仿宋_GB2312"/>
          <w:snapToGrid w:val="0"/>
          <w:kern w:val="0"/>
          <w:sz w:val="24"/>
          <w:szCs w:val="24"/>
          <w:highlight w:val="none"/>
        </w:rPr>
        <w:t>日历天内提交送审稿，</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u w:val="single"/>
          <w:lang w:val="en-US" w:eastAsia="zh-CN"/>
        </w:rPr>
        <w:t xml:space="preserve">  </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日历天内通过专家评审</w:t>
      </w:r>
      <w:r>
        <w:rPr>
          <w:rFonts w:hint="eastAsia" w:eastAsia="仿宋_GB2312"/>
          <w:snapToGrid w:val="0"/>
          <w:kern w:val="0"/>
          <w:sz w:val="28"/>
          <w:highlight w:val="none"/>
        </w:rPr>
        <w:t>。</w:t>
      </w:r>
    </w:p>
    <w:p w14:paraId="57EAE882">
      <w:pPr>
        <w:spacing w:line="460" w:lineRule="exact"/>
        <w:ind w:firstLine="480" w:firstLineChars="200"/>
        <w:rPr>
          <w:rFonts w:eastAsia="仿宋_GB2312"/>
          <w:snapToGrid w:val="0"/>
          <w:kern w:val="0"/>
          <w:sz w:val="24"/>
          <w:szCs w:val="24"/>
          <w:highlight w:val="none"/>
        </w:rPr>
      </w:pPr>
      <w:r>
        <w:rPr>
          <w:rFonts w:eastAsia="仿宋_GB2312"/>
          <w:snapToGrid w:val="0"/>
          <w:kern w:val="0"/>
          <w:sz w:val="24"/>
          <w:szCs w:val="24"/>
          <w:highlight w:val="none"/>
        </w:rPr>
        <w:t>6.3提交地点：四川省交通勘察设计研究院有限公司（</w:t>
      </w:r>
      <w:r>
        <w:rPr>
          <w:rFonts w:hint="eastAsia" w:eastAsia="仿宋_GB2312"/>
          <w:snapToGrid w:val="0"/>
          <w:kern w:val="0"/>
          <w:sz w:val="24"/>
          <w:szCs w:val="24"/>
          <w:highlight w:val="none"/>
        </w:rPr>
        <w:t>成都市双流区顺兴大道一段189号蜀道云上城12栋22楼2206室）</w:t>
      </w:r>
      <w:r>
        <w:rPr>
          <w:rFonts w:eastAsia="仿宋_GB2312"/>
          <w:snapToGrid w:val="0"/>
          <w:kern w:val="0"/>
          <w:sz w:val="24"/>
          <w:szCs w:val="24"/>
          <w:highlight w:val="none"/>
        </w:rPr>
        <w:t>。</w:t>
      </w:r>
    </w:p>
    <w:p w14:paraId="69E6980B">
      <w:pPr>
        <w:spacing w:line="460" w:lineRule="exact"/>
        <w:ind w:firstLine="480" w:firstLineChars="200"/>
        <w:rPr>
          <w:rFonts w:eastAsia="仿宋_GB2312"/>
          <w:snapToGrid w:val="0"/>
          <w:kern w:val="0"/>
          <w:sz w:val="24"/>
          <w:szCs w:val="24"/>
          <w:highlight w:val="none"/>
        </w:rPr>
      </w:pPr>
      <w:r>
        <w:rPr>
          <w:rFonts w:eastAsia="仿宋_GB2312"/>
          <w:snapToGrid w:val="0"/>
          <w:kern w:val="0"/>
          <w:sz w:val="24"/>
          <w:szCs w:val="24"/>
          <w:highlight w:val="none"/>
        </w:rPr>
        <w:t>6.4验收方式和标准：</w:t>
      </w:r>
      <w:r>
        <w:rPr>
          <w:rFonts w:hint="eastAsia" w:eastAsia="仿宋_GB2312"/>
          <w:snapToGrid w:val="0"/>
          <w:kern w:val="0"/>
          <w:sz w:val="24"/>
          <w:szCs w:val="24"/>
          <w:highlight w:val="none"/>
        </w:rPr>
        <w:t>乙方提交的成果文件应为经甲方及项目业主确认的最终项目数据对应的评估报告，成果质量应满足国家现行标准法规及四川省行业技术相关要求，成果报告做到图表清晰、论证充分、层次分明、依据可靠、结论明确。工作开展中取得的中间成果，不视为最终验收合格。</w:t>
      </w:r>
    </w:p>
    <w:p w14:paraId="4E63CF83">
      <w:pPr>
        <w:pStyle w:val="85"/>
        <w:spacing w:line="460" w:lineRule="exact"/>
        <w:rPr>
          <w:rFonts w:ascii="Times New Roman" w:hAnsi="Times New Roman"/>
          <w:snapToGrid w:val="0"/>
          <w:szCs w:val="24"/>
        </w:rPr>
      </w:pPr>
      <w:r>
        <w:rPr>
          <w:rFonts w:ascii="Times New Roman" w:hAnsi="Times New Roman"/>
          <w:snapToGrid w:val="0"/>
          <w:szCs w:val="24"/>
        </w:rPr>
        <w:t>第七条合同价款</w:t>
      </w:r>
    </w:p>
    <w:p w14:paraId="661CB58C">
      <w:pPr>
        <w:spacing w:line="360" w:lineRule="auto"/>
        <w:ind w:firstLine="480" w:firstLineChars="200"/>
        <w:rPr>
          <w:rFonts w:eastAsia="仿宋_GB2312"/>
          <w:snapToGrid w:val="0"/>
          <w:sz w:val="24"/>
        </w:rPr>
      </w:pPr>
      <w:r>
        <w:rPr>
          <w:rFonts w:ascii="仿宋_GB2312" w:hAnsi="宋体" w:eastAsia="仿宋_GB2312"/>
          <w:snapToGrid w:val="0"/>
          <w:kern w:val="0"/>
          <w:sz w:val="24"/>
        </w:rPr>
        <w:t>7.1</w:t>
      </w:r>
      <w:r>
        <w:rPr>
          <w:rFonts w:hint="eastAsia" w:ascii="仿宋_GB2312" w:hAnsi="宋体" w:eastAsia="仿宋_GB2312"/>
          <w:snapToGrid w:val="0"/>
          <w:kern w:val="0"/>
          <w:sz w:val="24"/>
        </w:rPr>
        <w:t>本合同价款计价模式为</w:t>
      </w:r>
      <w:r>
        <w:rPr>
          <w:rFonts w:hint="eastAsia" w:ascii="仿宋_GB2312" w:hAnsi="宋体" w:eastAsia="仿宋_GB2312"/>
          <w:snapToGrid w:val="0"/>
          <w:kern w:val="0"/>
          <w:sz w:val="24"/>
          <w:u w:val="single"/>
        </w:rPr>
        <w:t>总价</w:t>
      </w:r>
      <w:r>
        <w:rPr>
          <w:rFonts w:hint="eastAsia" w:ascii="仿宋_GB2312" w:hAnsi="宋体" w:eastAsia="仿宋_GB2312"/>
          <w:snapToGrid w:val="0"/>
          <w:kern w:val="0"/>
          <w:sz w:val="24"/>
        </w:rPr>
        <w:t>合同。</w:t>
      </w:r>
    </w:p>
    <w:p w14:paraId="766D9758">
      <w:pPr>
        <w:spacing w:line="360" w:lineRule="auto"/>
        <w:ind w:firstLine="480" w:firstLineChars="200"/>
        <w:rPr>
          <w:rFonts w:ascii="仿宋_GB2312" w:eastAsia="仿宋_GB2312"/>
          <w:snapToGrid w:val="0"/>
          <w:sz w:val="24"/>
        </w:rPr>
      </w:pPr>
      <w:r>
        <w:rPr>
          <w:rFonts w:ascii="仿宋_GB2312" w:hAnsi="宋体" w:eastAsia="仿宋_GB2312"/>
          <w:snapToGrid w:val="0"/>
          <w:kern w:val="0"/>
          <w:sz w:val="24"/>
        </w:rPr>
        <w:t>7.2</w:t>
      </w:r>
      <w:r>
        <w:rPr>
          <w:rFonts w:hint="eastAsia" w:ascii="仿宋_GB2312" w:hAnsi="宋体" w:eastAsia="仿宋_GB2312"/>
          <w:snapToGrid w:val="0"/>
          <w:kern w:val="0"/>
          <w:sz w:val="24"/>
        </w:rPr>
        <w:t>双</w:t>
      </w:r>
      <w:r>
        <w:rPr>
          <w:rFonts w:hint="eastAsia" w:eastAsia="仿宋_GB2312"/>
          <w:snapToGrid w:val="0"/>
          <w:sz w:val="24"/>
        </w:rPr>
        <w:t>方商定，合同总额为</w:t>
      </w:r>
      <w:r>
        <w:rPr>
          <w:rFonts w:eastAsia="仿宋_GB2312"/>
          <w:snapToGrid w:val="0"/>
          <w:sz w:val="24"/>
          <w:u w:val="single"/>
        </w:rPr>
        <w:t xml:space="preserve">         </w:t>
      </w:r>
      <w:r>
        <w:rPr>
          <w:rFonts w:hint="eastAsia" w:eastAsia="仿宋_GB2312"/>
          <w:snapToGrid w:val="0"/>
          <w:sz w:val="24"/>
        </w:rPr>
        <w:t>元（大写人民币</w:t>
      </w:r>
      <w:r>
        <w:rPr>
          <w:rFonts w:hint="eastAsia" w:eastAsia="仿宋_GB2312"/>
          <w:snapToGrid w:val="0"/>
          <w:sz w:val="24"/>
          <w:u w:val="single"/>
        </w:rPr>
        <w:t xml:space="preserve"> </w:t>
      </w:r>
      <w:r>
        <w:rPr>
          <w:rFonts w:eastAsia="仿宋_GB2312"/>
          <w:snapToGrid w:val="0"/>
          <w:sz w:val="24"/>
          <w:u w:val="single"/>
        </w:rPr>
        <w:t xml:space="preserve">         </w:t>
      </w:r>
      <w:r>
        <w:rPr>
          <w:rFonts w:hint="eastAsia" w:eastAsia="仿宋_GB2312"/>
          <w:snapToGrid w:val="0"/>
          <w:sz w:val="24"/>
        </w:rPr>
        <w:t>元整），增值税税率</w:t>
      </w:r>
      <w:r>
        <w:rPr>
          <w:rFonts w:eastAsia="仿宋_GB2312"/>
          <w:snapToGrid w:val="0"/>
          <w:sz w:val="24"/>
          <w:u w:val="single"/>
        </w:rPr>
        <w:t xml:space="preserve">     </w:t>
      </w:r>
      <w:r>
        <w:rPr>
          <w:rFonts w:hint="eastAsia" w:eastAsia="仿宋_GB2312"/>
          <w:snapToGrid w:val="0"/>
          <w:sz w:val="24"/>
          <w:u w:val="single"/>
        </w:rPr>
        <w:t>%</w:t>
      </w:r>
      <w:r>
        <w:rPr>
          <w:rFonts w:hint="eastAsia" w:ascii="仿宋_GB2312" w:eastAsia="仿宋_GB2312"/>
          <w:snapToGrid w:val="0"/>
          <w:sz w:val="24"/>
        </w:rPr>
        <w:t>。在合同履约期间，如果因国家政策等变化引起的税率变动，则不含税合同额不变，按调整后的增值税率结算，并调整合同总额。</w:t>
      </w:r>
    </w:p>
    <w:p w14:paraId="655402DA">
      <w:pPr>
        <w:spacing w:line="360" w:lineRule="auto"/>
        <w:ind w:firstLine="480" w:firstLineChars="200"/>
        <w:rPr>
          <w:rFonts w:eastAsia="仿宋_GB2312"/>
          <w:snapToGrid w:val="0"/>
          <w:sz w:val="24"/>
        </w:rPr>
      </w:pPr>
      <w:r>
        <w:rPr>
          <w:rFonts w:eastAsia="仿宋_GB2312"/>
          <w:snapToGrid w:val="0"/>
          <w:sz w:val="24"/>
        </w:rPr>
        <w:t>本合同价款包括且不限于完成本专业工作所需的人工、材料、机械设备使用、安全生产、资料收集、外业、内业、外部协调、审查费、会务费、税费等和政策性文件规定的全部费用。</w:t>
      </w:r>
    </w:p>
    <w:p w14:paraId="62FE5702">
      <w:pPr>
        <w:widowControl/>
        <w:spacing w:line="360" w:lineRule="auto"/>
        <w:ind w:firstLine="480" w:firstLineChars="200"/>
        <w:jc w:val="left"/>
        <w:rPr>
          <w:rFonts w:eastAsia="仿宋_GB2312"/>
          <w:snapToGrid w:val="0"/>
          <w:sz w:val="24"/>
        </w:rPr>
      </w:pPr>
      <w:r>
        <w:rPr>
          <w:rFonts w:ascii="仿宋_GB2312" w:hAnsi="宋体" w:eastAsia="仿宋_GB2312"/>
          <w:snapToGrid w:val="0"/>
          <w:kern w:val="0"/>
          <w:sz w:val="24"/>
        </w:rPr>
        <w:t>7.3</w:t>
      </w:r>
      <w:r>
        <w:rPr>
          <w:rFonts w:hint="eastAsia" w:ascii="仿宋_GB2312" w:hAnsi="宋体" w:eastAsia="仿宋_GB2312"/>
          <w:snapToGrid w:val="0"/>
          <w:kern w:val="0"/>
          <w:sz w:val="24"/>
        </w:rPr>
        <w:t>若</w:t>
      </w:r>
      <w:r>
        <w:rPr>
          <w:rFonts w:hint="eastAsia" w:eastAsia="仿宋_GB2312"/>
          <w:snapToGrid w:val="0"/>
          <w:sz w:val="24"/>
        </w:rPr>
        <w:t>因业主或行政管理等因素，造成项目的工作内容、工作范围或质量标准、数量等变化，乙方应无条件做好设计文件修改工作，不增加任何工作经费。</w:t>
      </w:r>
    </w:p>
    <w:p w14:paraId="525CE48E">
      <w:pPr>
        <w:widowControl/>
        <w:spacing w:line="360" w:lineRule="auto"/>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7</w:t>
      </w:r>
      <w:r>
        <w:rPr>
          <w:rFonts w:ascii="仿宋_GB2312" w:hAnsi="宋体" w:eastAsia="仿宋_GB2312"/>
          <w:snapToGrid w:val="0"/>
          <w:kern w:val="0"/>
          <w:sz w:val="24"/>
        </w:rPr>
        <w:t>.4</w:t>
      </w:r>
      <w:r>
        <w:rPr>
          <w:rFonts w:hint="eastAsia" w:ascii="仿宋_GB2312" w:hAnsi="宋体" w:eastAsia="仿宋_GB2312"/>
          <w:snapToGrid w:val="0"/>
          <w:kern w:val="0"/>
          <w:sz w:val="24"/>
        </w:rPr>
        <w:t>在取得批复前，因项目路线调整、项目拆分或合并等原因引起的变化，导致工作量增加，合同经费不调整。</w:t>
      </w:r>
    </w:p>
    <w:p w14:paraId="50B90CF4">
      <w:pPr>
        <w:widowControl/>
        <w:spacing w:line="360" w:lineRule="auto"/>
        <w:ind w:firstLine="480" w:firstLineChars="200"/>
        <w:jc w:val="left"/>
        <w:rPr>
          <w:snapToGrid w:val="0"/>
          <w:sz w:val="24"/>
          <w:szCs w:val="24"/>
        </w:rPr>
      </w:pPr>
      <w:r>
        <w:rPr>
          <w:rFonts w:hint="eastAsia" w:ascii="仿宋_GB2312" w:hAnsi="宋体" w:eastAsia="仿宋_GB2312"/>
          <w:snapToGrid w:val="0"/>
          <w:kern w:val="0"/>
          <w:sz w:val="24"/>
        </w:rPr>
        <w:t xml:space="preserve">7.5 </w:t>
      </w:r>
      <w:r>
        <w:rPr>
          <w:rFonts w:hint="eastAsia" w:eastAsia="仿宋_GB2312"/>
          <w:snapToGrid w:val="0"/>
          <w:sz w:val="24"/>
        </w:rPr>
        <w:t>在取得批复后，因项目路线调整、项目拆分或合并等原因导致的工作量变化，由双方友好协商，签订补充协议。</w:t>
      </w:r>
    </w:p>
    <w:p w14:paraId="6632BFA9">
      <w:pPr>
        <w:widowControl/>
        <w:spacing w:line="540" w:lineRule="exact"/>
        <w:ind w:firstLine="480" w:firstLineChars="200"/>
        <w:jc w:val="left"/>
        <w:outlineLvl w:val="0"/>
        <w:rPr>
          <w:rFonts w:eastAsia="黑体"/>
          <w:bCs/>
          <w:snapToGrid w:val="0"/>
          <w:kern w:val="0"/>
          <w:sz w:val="24"/>
          <w:szCs w:val="24"/>
        </w:rPr>
      </w:pPr>
      <w:r>
        <w:rPr>
          <w:rFonts w:eastAsia="黑体"/>
          <w:bCs/>
          <w:snapToGrid w:val="0"/>
          <w:kern w:val="0"/>
          <w:sz w:val="24"/>
          <w:szCs w:val="24"/>
        </w:rPr>
        <w:t>第八条 履约担保（提交现金）</w:t>
      </w:r>
    </w:p>
    <w:p w14:paraId="43EF9A20">
      <w:pPr>
        <w:spacing w:line="500" w:lineRule="exact"/>
        <w:ind w:firstLine="480" w:firstLineChars="200"/>
        <w:rPr>
          <w:rFonts w:eastAsia="仿宋_GB2312"/>
          <w:snapToGrid w:val="0"/>
          <w:sz w:val="24"/>
          <w:szCs w:val="24"/>
        </w:rPr>
      </w:pPr>
      <w:r>
        <w:rPr>
          <w:rFonts w:eastAsia="仿宋_GB2312"/>
          <w:snapToGrid w:val="0"/>
          <w:sz w:val="24"/>
          <w:szCs w:val="24"/>
        </w:rPr>
        <w:t>8.1  本协议</w:t>
      </w:r>
      <w:r>
        <w:rPr>
          <w:rFonts w:eastAsia="仿宋_GB2312"/>
          <w:snapToGrid w:val="0"/>
          <w:kern w:val="0"/>
          <w:sz w:val="24"/>
          <w:szCs w:val="24"/>
          <w:u w:val="single"/>
        </w:rPr>
        <w:sym w:font="Wingdings 2" w:char="00A3"/>
      </w:r>
      <w:r>
        <w:rPr>
          <w:rFonts w:eastAsia="仿宋_GB2312"/>
          <w:snapToGrid w:val="0"/>
          <w:sz w:val="24"/>
          <w:szCs w:val="24"/>
          <w:u w:val="single"/>
        </w:rPr>
        <w:t>有、</w:t>
      </w:r>
      <w:r>
        <w:rPr>
          <w:rFonts w:eastAsia="仿宋_GB2312"/>
          <w:snapToGrid w:val="0"/>
          <w:kern w:val="0"/>
          <w:sz w:val="24"/>
          <w:szCs w:val="24"/>
          <w:u w:val="single"/>
        </w:rPr>
        <w:sym w:font="Wingdings 2" w:char="00A3"/>
      </w:r>
      <w:r>
        <w:rPr>
          <w:rFonts w:eastAsia="仿宋_GB2312"/>
          <w:snapToGrid w:val="0"/>
          <w:sz w:val="24"/>
          <w:szCs w:val="24"/>
          <w:u w:val="single"/>
        </w:rPr>
        <w:t>无</w:t>
      </w:r>
      <w:r>
        <w:rPr>
          <w:rFonts w:eastAsia="仿宋_GB2312"/>
          <w:snapToGrid w:val="0"/>
          <w:sz w:val="24"/>
          <w:szCs w:val="24"/>
        </w:rPr>
        <w:t>履约担保。</w:t>
      </w:r>
    </w:p>
    <w:p w14:paraId="59F88E65">
      <w:pPr>
        <w:spacing w:line="500" w:lineRule="exact"/>
        <w:ind w:firstLine="480" w:firstLineChars="200"/>
        <w:rPr>
          <w:rFonts w:eastAsia="仿宋_GB2312"/>
          <w:snapToGrid w:val="0"/>
          <w:sz w:val="24"/>
          <w:szCs w:val="24"/>
        </w:rPr>
      </w:pPr>
      <w:r>
        <w:rPr>
          <w:rFonts w:eastAsia="仿宋_GB2312"/>
          <w:snapToGrid w:val="0"/>
          <w:sz w:val="24"/>
          <w:szCs w:val="24"/>
        </w:rPr>
        <w:t>8.2  乙方在收到甲方中标文件</w:t>
      </w:r>
      <w:r>
        <w:rPr>
          <w:rFonts w:eastAsia="仿宋_GB2312"/>
          <w:snapToGrid w:val="0"/>
          <w:sz w:val="24"/>
          <w:szCs w:val="24"/>
          <w:u w:val="single"/>
        </w:rPr>
        <w:t>10</w:t>
      </w:r>
      <w:r>
        <w:rPr>
          <w:rFonts w:eastAsia="仿宋_GB2312"/>
          <w:snapToGrid w:val="0"/>
          <w:sz w:val="24"/>
          <w:szCs w:val="24"/>
        </w:rPr>
        <w:t>天内，应向甲方提交履约担保，履约担保形式为</w:t>
      </w:r>
      <w:r>
        <w:rPr>
          <w:rFonts w:eastAsia="仿宋_GB2312"/>
          <w:snapToGrid w:val="0"/>
          <w:sz w:val="24"/>
          <w:szCs w:val="24"/>
          <w:u w:val="single"/>
        </w:rPr>
        <w:t>履约保证金</w:t>
      </w:r>
      <w:r>
        <w:rPr>
          <w:rFonts w:eastAsia="仿宋_GB2312"/>
          <w:snapToGrid w:val="0"/>
          <w:sz w:val="24"/>
          <w:szCs w:val="24"/>
        </w:rPr>
        <w:t>，即：暂计协议总价的</w:t>
      </w:r>
      <w:r>
        <w:rPr>
          <w:rFonts w:eastAsia="仿宋_GB2312"/>
          <w:b/>
          <w:bCs/>
          <w:snapToGrid w:val="0"/>
          <w:sz w:val="24"/>
          <w:szCs w:val="24"/>
          <w:u w:val="single"/>
        </w:rPr>
        <w:t>5</w:t>
      </w:r>
      <w:r>
        <w:rPr>
          <w:rFonts w:eastAsia="仿宋_GB2312"/>
          <w:b/>
          <w:bCs/>
          <w:snapToGrid w:val="0"/>
          <w:sz w:val="24"/>
          <w:szCs w:val="24"/>
        </w:rPr>
        <w:t>％</w:t>
      </w:r>
      <w:r>
        <w:rPr>
          <w:rFonts w:eastAsia="仿宋_GB2312"/>
          <w:snapToGrid w:val="0"/>
          <w:sz w:val="24"/>
          <w:szCs w:val="24"/>
          <w:u w:val="single"/>
        </w:rPr>
        <w:t>履约保证金</w:t>
      </w:r>
      <w:r>
        <w:rPr>
          <w:rFonts w:eastAsia="仿宋_GB2312"/>
          <w:snapToGrid w:val="0"/>
          <w:sz w:val="24"/>
          <w:szCs w:val="24"/>
        </w:rPr>
        <w:t>，计</w:t>
      </w:r>
      <w:r>
        <w:rPr>
          <w:rFonts w:eastAsia="仿宋_GB2312"/>
          <w:snapToGrid w:val="0"/>
          <w:sz w:val="24"/>
          <w:szCs w:val="24"/>
          <w:u w:val="single"/>
        </w:rPr>
        <w:t>XX</w:t>
      </w:r>
      <w:r>
        <w:rPr>
          <w:rFonts w:eastAsia="仿宋_GB2312"/>
          <w:snapToGrid w:val="0"/>
          <w:sz w:val="24"/>
          <w:szCs w:val="24"/>
        </w:rPr>
        <w:t>元。</w:t>
      </w:r>
    </w:p>
    <w:p w14:paraId="2F7BB18D">
      <w:pPr>
        <w:spacing w:line="500" w:lineRule="exact"/>
        <w:ind w:firstLine="480" w:firstLineChars="200"/>
        <w:rPr>
          <w:rFonts w:eastAsia="仿宋_GB2312"/>
          <w:snapToGrid w:val="0"/>
          <w:sz w:val="24"/>
          <w:szCs w:val="24"/>
        </w:rPr>
      </w:pPr>
      <w:r>
        <w:rPr>
          <w:rFonts w:eastAsia="仿宋_GB2312"/>
          <w:snapToGrid w:val="0"/>
          <w:sz w:val="24"/>
          <w:szCs w:val="24"/>
        </w:rPr>
        <w:t>8.3履约保证金在履行完全部协议规定的内容及义务并经验收合格后30日内无息返还。</w:t>
      </w:r>
    </w:p>
    <w:p w14:paraId="3757478A">
      <w:pPr>
        <w:spacing w:line="500" w:lineRule="exact"/>
        <w:ind w:firstLine="480" w:firstLineChars="200"/>
        <w:rPr>
          <w:rFonts w:eastAsia="仿宋_GB2312"/>
          <w:snapToGrid w:val="0"/>
          <w:sz w:val="24"/>
          <w:szCs w:val="24"/>
        </w:rPr>
      </w:pPr>
      <w:r>
        <w:rPr>
          <w:rFonts w:eastAsia="仿宋_GB2312"/>
          <w:snapToGrid w:val="0"/>
          <w:sz w:val="24"/>
          <w:szCs w:val="24"/>
        </w:rPr>
        <w:t>8.4  如乙方不能按期履行本协议约定义务，甲方将视情况动用履约担保，以确保协议目标的达成，并不免除乙方的协议违约责任，同时将乙方剔除甲方供应商目录库。</w:t>
      </w:r>
    </w:p>
    <w:p w14:paraId="2A604064">
      <w:pPr>
        <w:spacing w:line="500" w:lineRule="exact"/>
        <w:ind w:left="435" w:leftChars="207"/>
        <w:rPr>
          <w:rFonts w:eastAsia="黑体"/>
          <w:bCs/>
          <w:snapToGrid w:val="0"/>
          <w:sz w:val="24"/>
          <w:szCs w:val="24"/>
        </w:rPr>
      </w:pPr>
      <w:r>
        <w:rPr>
          <w:rFonts w:eastAsia="黑体"/>
          <w:bCs/>
          <w:snapToGrid w:val="0"/>
          <w:sz w:val="24"/>
          <w:szCs w:val="24"/>
        </w:rPr>
        <w:t>第八条 履约担保（提交保函）</w:t>
      </w:r>
    </w:p>
    <w:p w14:paraId="49930C34">
      <w:pPr>
        <w:spacing w:line="500" w:lineRule="exact"/>
        <w:ind w:firstLine="480" w:firstLineChars="200"/>
        <w:rPr>
          <w:rFonts w:eastAsia="仿宋_GB2312"/>
          <w:snapToGrid w:val="0"/>
          <w:sz w:val="24"/>
          <w:szCs w:val="24"/>
        </w:rPr>
      </w:pPr>
      <w:r>
        <w:rPr>
          <w:rFonts w:eastAsia="仿宋_GB2312"/>
          <w:snapToGrid w:val="0"/>
          <w:sz w:val="24"/>
          <w:szCs w:val="24"/>
        </w:rPr>
        <w:t xml:space="preserve">8.1 本协议 </w:t>
      </w:r>
      <w:r>
        <w:rPr>
          <w:rFonts w:eastAsia="仿宋_GB2312"/>
          <w:snapToGrid w:val="0"/>
          <w:kern w:val="0"/>
          <w:sz w:val="24"/>
          <w:szCs w:val="24"/>
          <w:u w:val="single"/>
        </w:rPr>
        <w:sym w:font="Wingdings 2" w:char="00A3"/>
      </w:r>
      <w:r>
        <w:rPr>
          <w:rFonts w:eastAsia="仿宋_GB2312"/>
          <w:snapToGrid w:val="0"/>
          <w:sz w:val="24"/>
          <w:szCs w:val="24"/>
          <w:u w:val="single"/>
        </w:rPr>
        <w:t>有、</w:t>
      </w:r>
      <w:r>
        <w:rPr>
          <w:rFonts w:eastAsia="仿宋_GB2312"/>
          <w:snapToGrid w:val="0"/>
          <w:kern w:val="0"/>
          <w:sz w:val="24"/>
          <w:szCs w:val="24"/>
          <w:u w:val="single"/>
        </w:rPr>
        <w:sym w:font="Wingdings 2" w:char="00A3"/>
      </w:r>
      <w:r>
        <w:rPr>
          <w:rFonts w:eastAsia="仿宋_GB2312"/>
          <w:snapToGrid w:val="0"/>
          <w:sz w:val="24"/>
          <w:szCs w:val="24"/>
          <w:u w:val="single"/>
        </w:rPr>
        <w:t>无</w:t>
      </w:r>
      <w:r>
        <w:rPr>
          <w:rFonts w:eastAsia="仿宋_GB2312"/>
          <w:snapToGrid w:val="0"/>
          <w:sz w:val="24"/>
          <w:szCs w:val="24"/>
        </w:rPr>
        <w:t xml:space="preserve"> 履约担保。</w:t>
      </w:r>
    </w:p>
    <w:p w14:paraId="2947F27F">
      <w:pPr>
        <w:spacing w:line="500" w:lineRule="exact"/>
        <w:ind w:firstLine="480" w:firstLineChars="200"/>
        <w:rPr>
          <w:rFonts w:eastAsia="仿宋_GB2312"/>
          <w:snapToGrid w:val="0"/>
          <w:sz w:val="24"/>
          <w:szCs w:val="24"/>
        </w:rPr>
      </w:pPr>
      <w:r>
        <w:rPr>
          <w:rFonts w:eastAsia="仿宋_GB2312"/>
          <w:snapToGrid w:val="0"/>
          <w:sz w:val="24"/>
          <w:szCs w:val="24"/>
        </w:rPr>
        <w:t>8.2 乙方在收到甲方中标文件10天内，应向甲方提交履约担保，履约担保形式为</w:t>
      </w:r>
      <w:r>
        <w:rPr>
          <w:rFonts w:eastAsia="仿宋_GB2312"/>
          <w:snapToGrid w:val="0"/>
          <w:sz w:val="24"/>
          <w:szCs w:val="24"/>
          <w:u w:val="single"/>
        </w:rPr>
        <w:t>履约保函</w:t>
      </w:r>
      <w:r>
        <w:rPr>
          <w:rFonts w:eastAsia="仿宋_GB2312"/>
          <w:snapToGrid w:val="0"/>
          <w:sz w:val="24"/>
          <w:szCs w:val="24"/>
        </w:rPr>
        <w:t>，即：暂计协议总价的5％履约保函，计XX元。</w:t>
      </w:r>
      <w:r>
        <w:rPr>
          <w:rFonts w:eastAsia="仿宋_GB2312"/>
          <w:snapToGrid w:val="0"/>
          <w:sz w:val="24"/>
          <w:szCs w:val="24"/>
        </w:rPr>
        <w:br w:type="textWrapping"/>
      </w:r>
      <w:r>
        <w:rPr>
          <w:rFonts w:eastAsia="仿宋_GB2312"/>
          <w:snapToGrid w:val="0"/>
          <w:sz w:val="24"/>
          <w:szCs w:val="24"/>
        </w:rPr>
        <w:t xml:space="preserve">   8.3 在乙方履行完全部协议规定的内容及义务并经验收合格后30日内，甲方退还履约保函。乙方承诺在履约保函失效日之前向甲方出具后续阶段履约保函，直至乙方完成合同约定全部工作内容止。</w:t>
      </w:r>
    </w:p>
    <w:p w14:paraId="482EB02D">
      <w:pPr>
        <w:spacing w:line="500" w:lineRule="exact"/>
        <w:ind w:firstLine="480" w:firstLineChars="200"/>
      </w:pPr>
      <w:r>
        <w:rPr>
          <w:rFonts w:eastAsia="仿宋_GB2312"/>
          <w:snapToGrid w:val="0"/>
          <w:sz w:val="24"/>
          <w:szCs w:val="24"/>
        </w:rPr>
        <w:t>8.4 如乙方不能按期履行本协议约定义务，甲方将视情况动用履约担保，以确保协议目标的达成，并不免除乙方的协议违约责任，同时将乙方剔除甲方供应商目录库。</w:t>
      </w:r>
    </w:p>
    <w:p w14:paraId="42299779">
      <w:pPr>
        <w:pStyle w:val="85"/>
        <w:spacing w:line="460" w:lineRule="exact"/>
        <w:rPr>
          <w:rFonts w:ascii="Times New Roman" w:hAnsi="Times New Roman"/>
          <w:snapToGrid w:val="0"/>
          <w:szCs w:val="24"/>
        </w:rPr>
      </w:pPr>
      <w:r>
        <w:rPr>
          <w:rFonts w:ascii="Times New Roman" w:hAnsi="Times New Roman"/>
          <w:snapToGrid w:val="0"/>
          <w:szCs w:val="24"/>
        </w:rPr>
        <w:t>第九条支付方式</w:t>
      </w:r>
    </w:p>
    <w:p w14:paraId="3AF57102">
      <w:pPr>
        <w:widowControl/>
        <w:spacing w:line="360" w:lineRule="auto"/>
        <w:ind w:firstLine="480" w:firstLineChars="200"/>
        <w:jc w:val="left"/>
        <w:rPr>
          <w:rFonts w:ascii="仿宋_GB2312" w:eastAsia="仿宋_GB2312"/>
          <w:snapToGrid w:val="0"/>
          <w:sz w:val="24"/>
        </w:rPr>
      </w:pPr>
      <w:r>
        <w:rPr>
          <w:rFonts w:hint="eastAsia" w:ascii="仿宋_GB2312" w:eastAsia="仿宋_GB2312"/>
          <w:snapToGrid w:val="0"/>
          <w:sz w:val="24"/>
        </w:rPr>
        <w:t>9.1乙方提交安全稳定性评估最终成果</w:t>
      </w:r>
      <w:r>
        <w:rPr>
          <w:rFonts w:hint="eastAsia" w:ascii="仿宋_GB2312" w:eastAsia="仿宋_GB2312"/>
          <w:snapToGrid w:val="0"/>
          <w:sz w:val="24"/>
          <w:lang w:val="en-US" w:eastAsia="zh-CN"/>
        </w:rPr>
        <w:t>及专家评审意见；并</w:t>
      </w:r>
      <w:r>
        <w:rPr>
          <w:rFonts w:hint="eastAsia" w:ascii="仿宋_GB2312" w:eastAsia="仿宋_GB2312"/>
          <w:snapToGrid w:val="0"/>
          <w:sz w:val="24"/>
        </w:rPr>
        <w:t>通过水保验收取得</w:t>
      </w:r>
      <w:r>
        <w:rPr>
          <w:rFonts w:hint="eastAsia" w:ascii="仿宋_GB2312" w:eastAsia="仿宋_GB2312"/>
          <w:snapToGrid w:val="0"/>
          <w:color w:val="auto"/>
          <w:sz w:val="24"/>
        </w:rPr>
        <w:t>水保批复</w:t>
      </w:r>
      <w:r>
        <w:rPr>
          <w:rFonts w:hint="eastAsia" w:ascii="仿宋_GB2312" w:eastAsia="仿宋_GB2312"/>
          <w:snapToGrid w:val="0"/>
          <w:sz w:val="24"/>
        </w:rPr>
        <w:t>后</w:t>
      </w:r>
      <w:r>
        <w:rPr>
          <w:rFonts w:hint="eastAsia" w:ascii="仿宋_GB2312" w:eastAsia="仿宋_GB2312"/>
          <w:snapToGrid w:val="0"/>
          <w:sz w:val="24"/>
          <w:lang w:eastAsia="zh-CN"/>
        </w:rPr>
        <w:t>，</w:t>
      </w:r>
      <w:r>
        <w:rPr>
          <w:rFonts w:hint="eastAsia" w:ascii="仿宋_GB2312" w:eastAsia="仿宋_GB2312"/>
          <w:snapToGrid w:val="0"/>
          <w:sz w:val="24"/>
        </w:rPr>
        <w:t>甲方向乙方支付至合同价的100％。</w:t>
      </w:r>
    </w:p>
    <w:p w14:paraId="5DE84C41">
      <w:pPr>
        <w:widowControl/>
        <w:spacing w:line="360" w:lineRule="auto"/>
        <w:ind w:firstLine="480" w:firstLineChars="200"/>
        <w:jc w:val="left"/>
        <w:rPr>
          <w:rFonts w:eastAsia="仿宋_GB2312"/>
          <w:snapToGrid w:val="0"/>
          <w:sz w:val="24"/>
          <w:szCs w:val="24"/>
        </w:rPr>
      </w:pPr>
      <w:r>
        <w:rPr>
          <w:rFonts w:hint="eastAsia" w:ascii="仿宋_GB2312" w:eastAsia="仿宋_GB2312"/>
          <w:snapToGrid w:val="0"/>
          <w:sz w:val="24"/>
        </w:rPr>
        <w:t>9.2乙方申请支付时向甲方出具正式合法增值税</w:t>
      </w:r>
      <w:r>
        <w:rPr>
          <w:rFonts w:hint="eastAsia" w:ascii="仿宋_GB2312" w:eastAsia="仿宋_GB2312"/>
          <w:snapToGrid w:val="0"/>
          <w:sz w:val="24"/>
          <w:u w:val="single"/>
        </w:rPr>
        <w:t>专用</w:t>
      </w:r>
      <w:r>
        <w:rPr>
          <w:rFonts w:hint="eastAsia" w:ascii="仿宋_GB2312" w:eastAsia="仿宋_GB2312"/>
          <w:snapToGrid w:val="0"/>
          <w:sz w:val="24"/>
        </w:rPr>
        <w:t>发票，并提供满足支付条件的证明资料。甲方采用供应链方式</w:t>
      </w:r>
      <w:r>
        <w:rPr>
          <w:rFonts w:hint="eastAsia" w:ascii="仿宋_GB2312" w:eastAsia="仿宋_GB2312"/>
          <w:snapToGrid w:val="0"/>
          <w:sz w:val="24"/>
          <w:lang w:val="en-US" w:eastAsia="zh-CN"/>
        </w:rPr>
        <w:t>向乙方付款</w:t>
      </w:r>
      <w:r>
        <w:rPr>
          <w:rFonts w:hint="eastAsia" w:ascii="仿宋_GB2312" w:eastAsia="仿宋_GB2312"/>
          <w:snapToGrid w:val="0"/>
          <w:sz w:val="24"/>
        </w:rPr>
        <w:t>，乙方办理供应链贴现融资所产生的所有相关费用由乙方自行承担。</w:t>
      </w:r>
    </w:p>
    <w:p w14:paraId="33C24DE7">
      <w:pPr>
        <w:pStyle w:val="85"/>
        <w:spacing w:line="460" w:lineRule="exact"/>
        <w:rPr>
          <w:rFonts w:ascii="Times New Roman" w:hAnsi="Times New Roman"/>
          <w:snapToGrid w:val="0"/>
          <w:szCs w:val="24"/>
        </w:rPr>
      </w:pPr>
      <w:r>
        <w:rPr>
          <w:rFonts w:ascii="Times New Roman" w:hAnsi="Times New Roman"/>
          <w:snapToGrid w:val="0"/>
          <w:szCs w:val="24"/>
        </w:rPr>
        <w:t>第十条双方责任</w:t>
      </w:r>
    </w:p>
    <w:p w14:paraId="40336D29">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10.1甲方责任</w:t>
      </w:r>
    </w:p>
    <w:p w14:paraId="0FEF9A5C">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76017470">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30DCF5A8">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27C9095F">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10.1.4甲方应按本合同规定的金额和日期向乙方支付合同款项，逾期超过</w:t>
      </w:r>
      <w:r>
        <w:rPr>
          <w:rFonts w:eastAsia="仿宋"/>
          <w:snapToGrid w:val="0"/>
          <w:sz w:val="24"/>
          <w:szCs w:val="24"/>
        </w:rPr>
        <w:t>30</w:t>
      </w:r>
      <w:r>
        <w:rPr>
          <w:rFonts w:eastAsia="仿宋_GB2312"/>
          <w:snapToGrid w:val="0"/>
          <w:sz w:val="24"/>
          <w:szCs w:val="24"/>
        </w:rPr>
        <w:t>天以上时，乙方有权暂停履行下阶段工作，并书面通知甲方，且乙方提交文件的时间顺延。</w:t>
      </w:r>
    </w:p>
    <w:p w14:paraId="66794518">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10.1.5甲方要求乙方比合同规定时间提前交付文件时，须征得乙方同意，不得严重背离合理工作周期。</w:t>
      </w:r>
    </w:p>
    <w:p w14:paraId="555CA3C7">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10.1.6甲方应指定专人负责本合同内容的履行并与乙方进行对接。甲方指定的负责人：</w:t>
      </w:r>
      <w:r>
        <w:rPr>
          <w:rFonts w:eastAsia="仿宋_GB2312"/>
          <w:snapToGrid w:val="0"/>
          <w:sz w:val="24"/>
          <w:szCs w:val="24"/>
          <w:u w:val="single"/>
        </w:rPr>
        <w:t xml:space="preserve">       </w:t>
      </w:r>
      <w:r>
        <w:rPr>
          <w:rFonts w:eastAsia="仿宋_GB2312"/>
          <w:snapToGrid w:val="0"/>
          <w:sz w:val="24"/>
          <w:szCs w:val="24"/>
        </w:rPr>
        <w:t>，电话：</w:t>
      </w:r>
      <w:r>
        <w:rPr>
          <w:rFonts w:eastAsia="仿宋_GB2312"/>
          <w:snapToGrid w:val="0"/>
          <w:sz w:val="24"/>
          <w:szCs w:val="24"/>
          <w:u w:val="single"/>
        </w:rPr>
        <w:t xml:space="preserve">             </w:t>
      </w:r>
      <w:r>
        <w:rPr>
          <w:rFonts w:eastAsia="仿宋_GB2312"/>
          <w:snapToGrid w:val="0"/>
          <w:sz w:val="24"/>
          <w:szCs w:val="24"/>
        </w:rPr>
        <w:t xml:space="preserve"> ，身份证号：</w:t>
      </w:r>
      <w:r>
        <w:rPr>
          <w:rFonts w:eastAsia="仿宋_GB2312"/>
          <w:snapToGrid w:val="0"/>
          <w:sz w:val="24"/>
          <w:szCs w:val="24"/>
          <w:u w:val="single"/>
        </w:rPr>
        <w:t xml:space="preserve">                  </w:t>
      </w:r>
      <w:r>
        <w:rPr>
          <w:rFonts w:eastAsia="仿宋_GB2312"/>
          <w:snapToGrid w:val="0"/>
          <w:sz w:val="24"/>
          <w:szCs w:val="24"/>
        </w:rPr>
        <w:t>。</w:t>
      </w:r>
    </w:p>
    <w:p w14:paraId="5E03DF02">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 乙方责任</w:t>
      </w:r>
    </w:p>
    <w:p w14:paraId="558F4823">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4CF3C94">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10.2.2 乙方应保证有足够的专业技术人员和设备按时保质完成本合同约定的工作任务。</w:t>
      </w:r>
    </w:p>
    <w:p w14:paraId="4D54001D">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10.2.3乙方应指定专人负责本合同内容的履行并与甲方进行对接。乙方指定的负责人：</w:t>
      </w:r>
      <w:r>
        <w:rPr>
          <w:rFonts w:eastAsia="仿宋_GB2312"/>
          <w:snapToGrid w:val="0"/>
          <w:sz w:val="24"/>
          <w:szCs w:val="24"/>
          <w:u w:val="single"/>
        </w:rPr>
        <w:t xml:space="preserve">      </w:t>
      </w:r>
      <w:r>
        <w:rPr>
          <w:rFonts w:eastAsia="仿宋_GB2312"/>
          <w:snapToGrid w:val="0"/>
          <w:sz w:val="24"/>
          <w:szCs w:val="24"/>
        </w:rPr>
        <w:t>，电话：</w:t>
      </w:r>
      <w:r>
        <w:rPr>
          <w:rFonts w:eastAsia="仿宋_GB2312"/>
          <w:snapToGrid w:val="0"/>
          <w:sz w:val="24"/>
          <w:szCs w:val="24"/>
          <w:u w:val="single"/>
        </w:rPr>
        <w:t xml:space="preserve">        </w:t>
      </w:r>
      <w:r>
        <w:rPr>
          <w:rFonts w:eastAsia="仿宋_GB2312"/>
          <w:snapToGrid w:val="0"/>
          <w:sz w:val="24"/>
          <w:szCs w:val="24"/>
        </w:rPr>
        <w:t>，身份证号：</w:t>
      </w:r>
      <w:r>
        <w:rPr>
          <w:rFonts w:eastAsia="仿宋_GB2312"/>
          <w:snapToGrid w:val="0"/>
          <w:sz w:val="24"/>
          <w:szCs w:val="24"/>
          <w:u w:val="single"/>
        </w:rPr>
        <w:t xml:space="preserve">                    </w:t>
      </w:r>
      <w:r>
        <w:rPr>
          <w:rFonts w:eastAsia="仿宋_GB2312"/>
          <w:snapToGrid w:val="0"/>
          <w:sz w:val="24"/>
          <w:szCs w:val="24"/>
        </w:rPr>
        <w:t>。</w:t>
      </w:r>
    </w:p>
    <w:p w14:paraId="2A95263D">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10.2.4乙方提交的成果文件合理使用年限为15年。</w:t>
      </w:r>
    </w:p>
    <w:p w14:paraId="36E8B380">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10.2.5乙方负责对外的审查、汇报工作，负责该合同项目的联络和后续服务工作。</w:t>
      </w:r>
    </w:p>
    <w:p w14:paraId="183AF7F7">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294776A1">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并赔偿由此给甲方造成的全部经济损失。</w:t>
      </w:r>
    </w:p>
    <w:p w14:paraId="359EC54C">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10.2.8乙方开展工作或提交成果所选用的国家标准图、部标准图、行业标准图及地方标准图由乙方负责解决。</w:t>
      </w:r>
    </w:p>
    <w:p w14:paraId="2703C10A">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10.2.9乙方应为己方人员购买国家法定保险，为派驻现场的工作人员提供工作、生活及交通等方面的便利条件及必要的劳动保护装备。</w:t>
      </w:r>
    </w:p>
    <w:p w14:paraId="56115A99">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10.2.10 合同生效后，乙方无正当理由要求终止或解除合同的，乙方应向甲方支付合同总金额20%的违约金，甲方有权同时没收乙方的履约保证金（若有），并将乙方</w:t>
      </w:r>
      <w:r>
        <w:rPr>
          <w:rFonts w:hint="eastAsia" w:eastAsia="仿宋_GB2312"/>
          <w:snapToGrid w:val="0"/>
          <w:sz w:val="24"/>
          <w:szCs w:val="24"/>
        </w:rPr>
        <w:t>纳入黑名单</w:t>
      </w:r>
      <w:r>
        <w:rPr>
          <w:rFonts w:eastAsia="仿宋_GB2312"/>
          <w:snapToGrid w:val="0"/>
          <w:sz w:val="24"/>
          <w:szCs w:val="24"/>
        </w:rPr>
        <w:t>，三年内不得</w:t>
      </w:r>
      <w:r>
        <w:rPr>
          <w:rFonts w:hint="eastAsia" w:eastAsia="仿宋_GB2312"/>
          <w:snapToGrid w:val="0"/>
          <w:sz w:val="24"/>
          <w:szCs w:val="24"/>
        </w:rPr>
        <w:t>参加甲方组织的外部采购活动</w:t>
      </w:r>
      <w:r>
        <w:rPr>
          <w:rFonts w:eastAsia="仿宋_GB2312"/>
          <w:snapToGrid w:val="0"/>
          <w:sz w:val="24"/>
          <w:szCs w:val="24"/>
        </w:rPr>
        <w:t>。</w:t>
      </w:r>
    </w:p>
    <w:p w14:paraId="72CD81BC">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10.2.11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50F7078D">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E9889C">
      <w:pPr>
        <w:spacing w:line="460" w:lineRule="exact"/>
        <w:ind w:firstLine="480" w:firstLineChars="200"/>
        <w:jc w:val="left"/>
        <w:rPr>
          <w:rFonts w:eastAsia="仿宋_GB2312"/>
          <w:snapToGrid w:val="0"/>
          <w:sz w:val="24"/>
          <w:szCs w:val="24"/>
        </w:rPr>
      </w:pPr>
      <w:r>
        <w:rPr>
          <w:rFonts w:eastAsia="仿宋_GB2312"/>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2D2AA117">
      <w:pPr>
        <w:spacing w:line="460" w:lineRule="exact"/>
        <w:ind w:firstLine="480" w:firstLineChars="200"/>
        <w:jc w:val="left"/>
        <w:rPr>
          <w:rFonts w:eastAsia="仿宋_GB2312"/>
          <w:snapToGrid w:val="0"/>
          <w:sz w:val="24"/>
          <w:szCs w:val="24"/>
        </w:rPr>
      </w:pPr>
      <w:r>
        <w:rPr>
          <w:rFonts w:eastAsia="仿宋_GB2312"/>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772AFB8">
      <w:pPr>
        <w:pStyle w:val="85"/>
        <w:spacing w:line="460" w:lineRule="exact"/>
        <w:rPr>
          <w:rFonts w:ascii="Times New Roman" w:hAnsi="Times New Roman"/>
          <w:snapToGrid w:val="0"/>
          <w:szCs w:val="24"/>
        </w:rPr>
      </w:pPr>
      <w:r>
        <w:rPr>
          <w:rFonts w:ascii="Times New Roman" w:hAnsi="Times New Roman"/>
          <w:snapToGrid w:val="0"/>
          <w:szCs w:val="24"/>
        </w:rPr>
        <w:t>第十一条保密和知识产权保护</w:t>
      </w:r>
    </w:p>
    <w:p w14:paraId="65CC00CE">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5E47CC4E">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11.2甲方单位已获得中国质量认证中心QES三标体系认证。乙方在工作职责内，注意遵守环境及职业健康安全方面的相关法律法规要求。</w:t>
      </w:r>
    </w:p>
    <w:p w14:paraId="0375B4A4">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59FA50F">
      <w:pPr>
        <w:pStyle w:val="85"/>
        <w:spacing w:line="460" w:lineRule="exact"/>
        <w:rPr>
          <w:rFonts w:ascii="Times New Roman" w:hAnsi="Times New Roman"/>
          <w:snapToGrid w:val="0"/>
          <w:szCs w:val="24"/>
        </w:rPr>
      </w:pPr>
      <w:r>
        <w:rPr>
          <w:rFonts w:ascii="Times New Roman" w:hAnsi="Times New Roman"/>
          <w:snapToGrid w:val="0"/>
          <w:szCs w:val="24"/>
        </w:rPr>
        <w:t>第十二条争议解决</w:t>
      </w:r>
    </w:p>
    <w:p w14:paraId="688C141A">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12.1本合同发生争议，甲方与乙方应及时协商解决。协商不成时，任何一方可向甲方所在地有管辖权的人民法院起诉。</w:t>
      </w:r>
    </w:p>
    <w:p w14:paraId="60EC199C">
      <w:pPr>
        <w:pStyle w:val="85"/>
        <w:spacing w:line="460" w:lineRule="exact"/>
        <w:rPr>
          <w:rFonts w:ascii="Times New Roman" w:hAnsi="Times New Roman"/>
          <w:snapToGrid w:val="0"/>
          <w:szCs w:val="24"/>
        </w:rPr>
      </w:pPr>
      <w:r>
        <w:rPr>
          <w:rFonts w:ascii="Times New Roman" w:hAnsi="Times New Roman"/>
          <w:snapToGrid w:val="0"/>
          <w:szCs w:val="24"/>
        </w:rPr>
        <w:t>第十三条 通知和送达</w:t>
      </w:r>
    </w:p>
    <w:p w14:paraId="5C9F72A7">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6BFE499B">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13.2甲乙双方的联系信息如下：</w:t>
      </w:r>
    </w:p>
    <w:p w14:paraId="155AB074">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 xml:space="preserve">13.2.1甲方联系人：     ，联系电话：   </w:t>
      </w:r>
    </w:p>
    <w:p w14:paraId="53301068">
      <w:pPr>
        <w:widowControl/>
        <w:spacing w:line="460" w:lineRule="exact"/>
        <w:ind w:firstLine="1200" w:firstLineChars="500"/>
        <w:jc w:val="left"/>
        <w:rPr>
          <w:rFonts w:eastAsia="仿宋_GB2312"/>
          <w:snapToGrid w:val="0"/>
          <w:sz w:val="24"/>
          <w:szCs w:val="24"/>
        </w:rPr>
      </w:pPr>
      <w:r>
        <w:rPr>
          <w:rFonts w:eastAsia="仿宋_GB2312"/>
          <w:snapToGrid w:val="0"/>
          <w:sz w:val="24"/>
          <w:szCs w:val="24"/>
        </w:rPr>
        <w:t xml:space="preserve">电子邮箱： </w:t>
      </w:r>
    </w:p>
    <w:p w14:paraId="75F23D72">
      <w:pPr>
        <w:widowControl/>
        <w:spacing w:line="460" w:lineRule="exact"/>
        <w:ind w:firstLine="1200" w:firstLineChars="500"/>
        <w:jc w:val="left"/>
        <w:rPr>
          <w:rFonts w:eastAsia="仿宋_GB2312"/>
          <w:snapToGrid w:val="0"/>
          <w:sz w:val="24"/>
          <w:szCs w:val="24"/>
        </w:rPr>
      </w:pPr>
      <w:r>
        <w:rPr>
          <w:rFonts w:eastAsia="仿宋_GB2312"/>
          <w:snapToGrid w:val="0"/>
          <w:sz w:val="24"/>
          <w:szCs w:val="24"/>
        </w:rPr>
        <w:t>通讯地址：</w:t>
      </w:r>
      <w:r>
        <w:rPr>
          <w:rFonts w:hint="eastAsia" w:eastAsia="仿宋_GB2312"/>
          <w:snapToGrid w:val="0"/>
          <w:sz w:val="24"/>
          <w:szCs w:val="24"/>
        </w:rPr>
        <w:t xml:space="preserve">                      </w:t>
      </w:r>
      <w:r>
        <w:rPr>
          <w:rFonts w:eastAsia="仿宋_GB2312"/>
          <w:snapToGrid w:val="0"/>
          <w:sz w:val="24"/>
          <w:szCs w:val="24"/>
        </w:rPr>
        <w:t xml:space="preserve"> 邮编：</w:t>
      </w:r>
      <w:r>
        <w:rPr>
          <w:rFonts w:hint="eastAsia" w:eastAsia="仿宋_GB2312"/>
          <w:snapToGrid w:val="0"/>
          <w:sz w:val="24"/>
          <w:szCs w:val="24"/>
        </w:rPr>
        <w:t xml:space="preserve">     </w:t>
      </w:r>
    </w:p>
    <w:p w14:paraId="692C2C2F">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 xml:space="preserve">13.2.2乙方联系人：    ，联系电话：  </w:t>
      </w:r>
    </w:p>
    <w:p w14:paraId="5EA7E4F5">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ab/>
      </w:r>
      <w:r>
        <w:rPr>
          <w:rFonts w:eastAsia="仿宋_GB2312"/>
          <w:snapToGrid w:val="0"/>
          <w:sz w:val="24"/>
          <w:szCs w:val="24"/>
        </w:rPr>
        <w:tab/>
      </w:r>
      <w:r>
        <w:rPr>
          <w:rFonts w:eastAsia="仿宋_GB2312"/>
          <w:snapToGrid w:val="0"/>
          <w:sz w:val="24"/>
          <w:szCs w:val="24"/>
        </w:rPr>
        <w:t>电子邮箱：</w:t>
      </w:r>
      <w:r>
        <w:fldChar w:fldCharType="begin"/>
      </w:r>
      <w:r>
        <w:instrText xml:space="preserve"> HYPERLINK "mailto:3941745@qq.com" </w:instrText>
      </w:r>
      <w:r>
        <w:fldChar w:fldCharType="separate"/>
      </w:r>
      <w:r>
        <w:fldChar w:fldCharType="end"/>
      </w:r>
      <w:r>
        <w:rPr>
          <w:rFonts w:eastAsia="仿宋_GB2312"/>
          <w:snapToGrid w:val="0"/>
          <w:sz w:val="24"/>
          <w:szCs w:val="24"/>
        </w:rPr>
        <w:t xml:space="preserve">  </w:t>
      </w:r>
    </w:p>
    <w:p w14:paraId="6A077BB2">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ab/>
      </w:r>
      <w:r>
        <w:rPr>
          <w:rFonts w:eastAsia="仿宋_GB2312"/>
          <w:snapToGrid w:val="0"/>
          <w:sz w:val="24"/>
          <w:szCs w:val="24"/>
        </w:rPr>
        <w:tab/>
      </w:r>
      <w:r>
        <w:rPr>
          <w:rFonts w:eastAsia="仿宋_GB2312"/>
          <w:snapToGrid w:val="0"/>
          <w:sz w:val="24"/>
          <w:szCs w:val="24"/>
        </w:rPr>
        <w:t xml:space="preserve">通讯地址：                       邮编： </w:t>
      </w:r>
    </w:p>
    <w:p w14:paraId="3C213CB2">
      <w:pPr>
        <w:pStyle w:val="85"/>
        <w:spacing w:line="460" w:lineRule="exact"/>
        <w:rPr>
          <w:rFonts w:ascii="Times New Roman" w:hAnsi="Times New Roman"/>
          <w:snapToGrid w:val="0"/>
          <w:szCs w:val="24"/>
        </w:rPr>
      </w:pPr>
      <w:r>
        <w:rPr>
          <w:rFonts w:ascii="Times New Roman" w:hAnsi="Times New Roman"/>
          <w:snapToGrid w:val="0"/>
          <w:szCs w:val="24"/>
        </w:rPr>
        <w:t>第十四条合同生效及其他</w:t>
      </w:r>
    </w:p>
    <w:p w14:paraId="62225B1E">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14.1由于不可抗力因素致使合同无法履行时，双方应及时协商解决。</w:t>
      </w:r>
    </w:p>
    <w:p w14:paraId="5B0E81A9">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14.2未尽事宜，经双方协商一致，签订补充协议，补充协议与本合同具有同等效力。</w:t>
      </w:r>
    </w:p>
    <w:p w14:paraId="56912296">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14.3双方认可的来往传真、电报、会议纪要等，均为合同的组成部分，与本合同具有同等法律效力。</w:t>
      </w:r>
    </w:p>
    <w:p w14:paraId="18E8A771">
      <w:pPr>
        <w:widowControl/>
        <w:spacing w:line="460" w:lineRule="exact"/>
        <w:ind w:left="210" w:leftChars="100" w:firstLine="240" w:firstLineChars="100"/>
        <w:jc w:val="left"/>
        <w:rPr>
          <w:rFonts w:eastAsia="仿宋_GB2312"/>
          <w:snapToGrid w:val="0"/>
          <w:sz w:val="24"/>
          <w:szCs w:val="24"/>
        </w:rPr>
      </w:pPr>
      <w:r>
        <w:rPr>
          <w:rFonts w:eastAsia="仿宋_GB2312"/>
          <w:snapToGrid w:val="0"/>
          <w:sz w:val="24"/>
          <w:szCs w:val="24"/>
        </w:rPr>
        <w:t>14.4本合同双方法定代表人或授权代表签字盖章生效，一式</w:t>
      </w:r>
      <w:r>
        <w:rPr>
          <w:rFonts w:eastAsia="仿宋_GB2312"/>
          <w:snapToGrid w:val="0"/>
          <w:sz w:val="24"/>
          <w:szCs w:val="24"/>
          <w:u w:val="single"/>
        </w:rPr>
        <w:t xml:space="preserve"> </w:t>
      </w:r>
      <w:r>
        <w:rPr>
          <w:rFonts w:hint="eastAsia" w:eastAsia="仿宋_GB2312"/>
          <w:snapToGrid w:val="0"/>
          <w:sz w:val="24"/>
          <w:szCs w:val="24"/>
          <w:u w:val="single"/>
        </w:rPr>
        <w:t>陆</w:t>
      </w:r>
      <w:r>
        <w:rPr>
          <w:rFonts w:eastAsia="仿宋_GB2312"/>
          <w:snapToGrid w:val="0"/>
          <w:sz w:val="24"/>
          <w:szCs w:val="24"/>
          <w:u w:val="single"/>
        </w:rPr>
        <w:t xml:space="preserve"> </w:t>
      </w:r>
      <w:r>
        <w:rPr>
          <w:rFonts w:eastAsia="仿宋_GB2312"/>
          <w:snapToGrid w:val="0"/>
          <w:sz w:val="24"/>
          <w:szCs w:val="24"/>
        </w:rPr>
        <w:t>份，甲方</w:t>
      </w:r>
      <w:r>
        <w:rPr>
          <w:rFonts w:hint="eastAsia" w:eastAsia="仿宋_GB2312"/>
          <w:snapToGrid w:val="0"/>
          <w:sz w:val="24"/>
          <w:szCs w:val="24"/>
          <w:u w:val="single"/>
        </w:rPr>
        <w:t>叁</w:t>
      </w:r>
      <w:r>
        <w:rPr>
          <w:rFonts w:eastAsia="仿宋_GB2312"/>
          <w:snapToGrid w:val="0"/>
          <w:sz w:val="24"/>
          <w:szCs w:val="24"/>
          <w:u w:val="single"/>
        </w:rPr>
        <w:t xml:space="preserve"> </w:t>
      </w:r>
      <w:r>
        <w:rPr>
          <w:rFonts w:eastAsia="仿宋_GB2312"/>
          <w:snapToGrid w:val="0"/>
          <w:sz w:val="24"/>
          <w:szCs w:val="24"/>
        </w:rPr>
        <w:t>份，乙方</w:t>
      </w:r>
      <w:r>
        <w:rPr>
          <w:rFonts w:eastAsia="仿宋_GB2312"/>
          <w:snapToGrid w:val="0"/>
          <w:sz w:val="24"/>
          <w:szCs w:val="24"/>
          <w:u w:val="single"/>
        </w:rPr>
        <w:t xml:space="preserve"> </w:t>
      </w:r>
      <w:r>
        <w:rPr>
          <w:rFonts w:hint="eastAsia" w:eastAsia="仿宋_GB2312"/>
          <w:snapToGrid w:val="0"/>
          <w:sz w:val="24"/>
          <w:szCs w:val="24"/>
          <w:u w:val="single"/>
        </w:rPr>
        <w:t>叁</w:t>
      </w:r>
      <w:r>
        <w:rPr>
          <w:rFonts w:eastAsia="仿宋_GB2312"/>
          <w:snapToGrid w:val="0"/>
          <w:sz w:val="24"/>
          <w:szCs w:val="24"/>
          <w:u w:val="single"/>
        </w:rPr>
        <w:t xml:space="preserve"> </w:t>
      </w:r>
      <w:r>
        <w:rPr>
          <w:rFonts w:eastAsia="仿宋_GB2312"/>
          <w:snapToGrid w:val="0"/>
          <w:sz w:val="24"/>
          <w:szCs w:val="24"/>
        </w:rPr>
        <w:t>份，具有同等法律效力。</w:t>
      </w:r>
    </w:p>
    <w:p w14:paraId="306C5073">
      <w:pPr>
        <w:pStyle w:val="16"/>
        <w:ind w:left="900" w:hanging="480"/>
        <w:rPr>
          <w:sz w:val="24"/>
        </w:rPr>
      </w:pPr>
    </w:p>
    <w:p w14:paraId="465720AC">
      <w:pPr>
        <w:pStyle w:val="16"/>
        <w:ind w:left="900" w:hanging="480"/>
        <w:rPr>
          <w:sz w:val="24"/>
        </w:rPr>
      </w:pPr>
    </w:p>
    <w:p w14:paraId="178D389C"/>
    <w:p w14:paraId="1FC16F26">
      <w:pPr>
        <w:pStyle w:val="7"/>
      </w:pPr>
    </w:p>
    <w:p w14:paraId="5AD1BA4D">
      <w:pPr>
        <w:pStyle w:val="7"/>
      </w:pPr>
    </w:p>
    <w:p w14:paraId="3AE51056">
      <w:pPr>
        <w:pStyle w:val="7"/>
      </w:pPr>
    </w:p>
    <w:p w14:paraId="00B09075">
      <w:pPr>
        <w:pStyle w:val="7"/>
      </w:pPr>
    </w:p>
    <w:p w14:paraId="10A28A7C">
      <w:pPr>
        <w:pStyle w:val="7"/>
      </w:pPr>
    </w:p>
    <w:p w14:paraId="46A77071">
      <w:pPr>
        <w:pStyle w:val="7"/>
      </w:pPr>
    </w:p>
    <w:tbl>
      <w:tblPr>
        <w:tblStyle w:val="23"/>
        <w:tblW w:w="9045" w:type="dxa"/>
        <w:jc w:val="center"/>
        <w:tblLayout w:type="fixed"/>
        <w:tblCellMar>
          <w:top w:w="0" w:type="dxa"/>
          <w:left w:w="108" w:type="dxa"/>
          <w:bottom w:w="0" w:type="dxa"/>
          <w:right w:w="108" w:type="dxa"/>
        </w:tblCellMar>
      </w:tblPr>
      <w:tblGrid>
        <w:gridCol w:w="4798"/>
        <w:gridCol w:w="4247"/>
      </w:tblGrid>
      <w:tr w14:paraId="3F35DB2B">
        <w:tblPrEx>
          <w:tblCellMar>
            <w:top w:w="0" w:type="dxa"/>
            <w:left w:w="108" w:type="dxa"/>
            <w:bottom w:w="0" w:type="dxa"/>
            <w:right w:w="108" w:type="dxa"/>
          </w:tblCellMar>
        </w:tblPrEx>
        <w:trPr>
          <w:trHeight w:val="6419" w:hRule="atLeast"/>
          <w:jc w:val="center"/>
        </w:trPr>
        <w:tc>
          <w:tcPr>
            <w:tcW w:w="4795" w:type="dxa"/>
          </w:tcPr>
          <w:p w14:paraId="209189A3">
            <w:pPr>
              <w:rPr>
                <w:rFonts w:eastAsia="仿宋_GB2312"/>
                <w:sz w:val="24"/>
                <w:szCs w:val="24"/>
              </w:rPr>
            </w:pPr>
          </w:p>
          <w:p w14:paraId="0A5A07A3">
            <w:pPr>
              <w:rPr>
                <w:rFonts w:eastAsia="仿宋_GB2312"/>
                <w:sz w:val="24"/>
                <w:szCs w:val="24"/>
              </w:rPr>
            </w:pPr>
            <w:r>
              <w:rPr>
                <w:rFonts w:eastAsia="仿宋_GB2312"/>
                <w:sz w:val="24"/>
                <w:szCs w:val="24"/>
              </w:rPr>
              <w:t>甲方：四川省交通勘察设计研究院有限公司</w:t>
            </w:r>
          </w:p>
          <w:p w14:paraId="3AE3AE63">
            <w:pPr>
              <w:snapToGrid w:val="0"/>
              <w:spacing w:line="700" w:lineRule="exact"/>
              <w:rPr>
                <w:rFonts w:eastAsia="仿宋_GB2312"/>
                <w:bCs/>
                <w:sz w:val="24"/>
                <w:szCs w:val="24"/>
              </w:rPr>
            </w:pPr>
            <w:r>
              <w:rPr>
                <w:rFonts w:eastAsia="仿宋_GB2312"/>
                <w:sz w:val="24"/>
                <w:szCs w:val="24"/>
              </w:rPr>
              <w:t>法定代表人：</w:t>
            </w:r>
          </w:p>
          <w:p w14:paraId="4BA5F251">
            <w:pPr>
              <w:snapToGrid w:val="0"/>
              <w:spacing w:line="700" w:lineRule="exact"/>
              <w:rPr>
                <w:rFonts w:eastAsia="仿宋_GB2312"/>
                <w:sz w:val="24"/>
                <w:szCs w:val="24"/>
              </w:rPr>
            </w:pPr>
            <w:r>
              <w:rPr>
                <w:rFonts w:eastAsia="仿宋_GB2312"/>
                <w:sz w:val="24"/>
                <w:szCs w:val="24"/>
              </w:rPr>
              <w:t>（或授权人）</w:t>
            </w:r>
          </w:p>
          <w:p w14:paraId="384DEBE9">
            <w:pPr>
              <w:snapToGrid w:val="0"/>
              <w:spacing w:line="700" w:lineRule="exact"/>
              <w:rPr>
                <w:rFonts w:eastAsia="仿宋_GB2312"/>
                <w:sz w:val="24"/>
                <w:szCs w:val="24"/>
              </w:rPr>
            </w:pPr>
            <w:r>
              <w:rPr>
                <w:rFonts w:eastAsia="仿宋_GB2312"/>
                <w:sz w:val="24"/>
                <w:szCs w:val="24"/>
              </w:rPr>
              <w:t>经办人：</w:t>
            </w:r>
          </w:p>
          <w:p w14:paraId="2060255C">
            <w:pPr>
              <w:snapToGrid w:val="0"/>
              <w:spacing w:line="700" w:lineRule="exact"/>
              <w:rPr>
                <w:rFonts w:eastAsia="仿宋_GB2312"/>
                <w:sz w:val="24"/>
                <w:szCs w:val="24"/>
              </w:rPr>
            </w:pPr>
            <w:r>
              <w:rPr>
                <w:rFonts w:eastAsia="仿宋_GB2312"/>
                <w:sz w:val="24"/>
                <w:szCs w:val="24"/>
              </w:rPr>
              <w:t>联系电话：</w:t>
            </w:r>
          </w:p>
          <w:p w14:paraId="2385FA7D">
            <w:pPr>
              <w:snapToGrid w:val="0"/>
              <w:spacing w:line="700" w:lineRule="exact"/>
              <w:rPr>
                <w:rFonts w:eastAsia="仿宋_GB2312"/>
                <w:sz w:val="24"/>
                <w:szCs w:val="24"/>
              </w:rPr>
            </w:pPr>
            <w:r>
              <w:rPr>
                <w:rFonts w:eastAsia="仿宋_GB2312"/>
                <w:sz w:val="24"/>
                <w:szCs w:val="24"/>
              </w:rPr>
              <w:t>单位地址：</w:t>
            </w:r>
            <w:r>
              <w:rPr>
                <w:rFonts w:hint="eastAsia" w:eastAsia="仿宋_GB2312"/>
                <w:sz w:val="24"/>
                <w:szCs w:val="24"/>
              </w:rPr>
              <w:t>成都市双流区顺兴大道一段189号蜀道云上城12栋</w:t>
            </w:r>
          </w:p>
          <w:p w14:paraId="65E74C7F">
            <w:pPr>
              <w:snapToGrid w:val="0"/>
              <w:spacing w:line="700" w:lineRule="exact"/>
              <w:rPr>
                <w:rFonts w:eastAsia="仿宋_GB2312"/>
                <w:sz w:val="24"/>
                <w:szCs w:val="24"/>
              </w:rPr>
            </w:pPr>
            <w:r>
              <w:rPr>
                <w:rFonts w:eastAsia="仿宋_GB2312"/>
                <w:sz w:val="24"/>
                <w:szCs w:val="24"/>
              </w:rPr>
              <w:t>开户银行：中国建设银行成都市第二支行</w:t>
            </w:r>
          </w:p>
          <w:p w14:paraId="756EA217">
            <w:pPr>
              <w:snapToGrid w:val="0"/>
              <w:spacing w:line="700" w:lineRule="exact"/>
              <w:rPr>
                <w:rFonts w:eastAsia="仿宋_GB2312"/>
                <w:sz w:val="24"/>
                <w:szCs w:val="24"/>
              </w:rPr>
            </w:pPr>
            <w:r>
              <w:rPr>
                <w:rFonts w:eastAsia="仿宋_GB2312"/>
                <w:sz w:val="24"/>
                <w:szCs w:val="24"/>
              </w:rPr>
              <w:t>账号：51001426208050125148</w:t>
            </w:r>
          </w:p>
          <w:p w14:paraId="304D3329">
            <w:pPr>
              <w:snapToGrid w:val="0"/>
              <w:spacing w:line="700" w:lineRule="exact"/>
              <w:rPr>
                <w:rFonts w:eastAsia="仿宋_GB2312"/>
                <w:sz w:val="24"/>
                <w:szCs w:val="24"/>
              </w:rPr>
            </w:pPr>
            <w:r>
              <w:rPr>
                <w:rFonts w:eastAsia="仿宋_GB2312"/>
                <w:sz w:val="24"/>
                <w:szCs w:val="24"/>
              </w:rPr>
              <w:t>日期：202</w:t>
            </w:r>
            <w:r>
              <w:rPr>
                <w:rFonts w:hint="eastAsia" w:eastAsia="仿宋_GB2312"/>
                <w:sz w:val="24"/>
                <w:szCs w:val="24"/>
              </w:rPr>
              <w:t>5</w:t>
            </w:r>
            <w:r>
              <w:rPr>
                <w:rFonts w:eastAsia="仿宋_GB2312"/>
                <w:sz w:val="24"/>
                <w:szCs w:val="24"/>
              </w:rPr>
              <w:t>年  月  日</w:t>
            </w:r>
          </w:p>
        </w:tc>
        <w:tc>
          <w:tcPr>
            <w:tcW w:w="4244" w:type="dxa"/>
          </w:tcPr>
          <w:p w14:paraId="1CB06777">
            <w:pPr>
              <w:snapToGrid w:val="0"/>
              <w:spacing w:line="700" w:lineRule="exact"/>
              <w:rPr>
                <w:rFonts w:eastAsia="仿宋_GB2312"/>
                <w:sz w:val="24"/>
                <w:szCs w:val="24"/>
              </w:rPr>
            </w:pPr>
            <w:r>
              <w:rPr>
                <w:rFonts w:eastAsia="仿宋_GB2312"/>
                <w:sz w:val="24"/>
                <w:szCs w:val="24"/>
              </w:rPr>
              <w:t xml:space="preserve">乙方： </w:t>
            </w:r>
          </w:p>
          <w:p w14:paraId="367E0338">
            <w:pPr>
              <w:snapToGrid w:val="0"/>
              <w:spacing w:line="700" w:lineRule="exact"/>
              <w:rPr>
                <w:rFonts w:eastAsia="仿宋_GB2312"/>
                <w:sz w:val="24"/>
                <w:szCs w:val="24"/>
              </w:rPr>
            </w:pPr>
            <w:r>
              <w:rPr>
                <w:rFonts w:eastAsia="仿宋_GB2312"/>
                <w:sz w:val="24"/>
                <w:szCs w:val="24"/>
              </w:rPr>
              <w:t>法定代表人：</w:t>
            </w:r>
          </w:p>
          <w:p w14:paraId="1B4E3DA8">
            <w:pPr>
              <w:snapToGrid w:val="0"/>
              <w:spacing w:line="700" w:lineRule="exact"/>
              <w:rPr>
                <w:rFonts w:eastAsia="仿宋_GB2312"/>
                <w:sz w:val="24"/>
                <w:szCs w:val="24"/>
              </w:rPr>
            </w:pPr>
            <w:r>
              <w:rPr>
                <w:rFonts w:eastAsia="仿宋_GB2312"/>
                <w:sz w:val="24"/>
                <w:szCs w:val="24"/>
              </w:rPr>
              <w:t>（或授权人）</w:t>
            </w:r>
          </w:p>
          <w:p w14:paraId="23A0265B">
            <w:pPr>
              <w:snapToGrid w:val="0"/>
              <w:spacing w:line="700" w:lineRule="exact"/>
              <w:rPr>
                <w:rFonts w:eastAsia="仿宋_GB2312"/>
                <w:sz w:val="24"/>
                <w:szCs w:val="24"/>
              </w:rPr>
            </w:pPr>
            <w:r>
              <w:rPr>
                <w:rFonts w:eastAsia="仿宋_GB2312"/>
                <w:sz w:val="24"/>
                <w:szCs w:val="24"/>
              </w:rPr>
              <w:t>经办人：</w:t>
            </w:r>
          </w:p>
          <w:p w14:paraId="51EC401B">
            <w:pPr>
              <w:snapToGrid w:val="0"/>
              <w:spacing w:line="700" w:lineRule="exact"/>
              <w:rPr>
                <w:rFonts w:eastAsia="仿宋_GB2312"/>
                <w:sz w:val="24"/>
                <w:szCs w:val="24"/>
              </w:rPr>
            </w:pPr>
            <w:r>
              <w:rPr>
                <w:rFonts w:eastAsia="仿宋_GB2312"/>
                <w:sz w:val="24"/>
                <w:szCs w:val="24"/>
              </w:rPr>
              <w:t>联系电话：</w:t>
            </w:r>
          </w:p>
          <w:p w14:paraId="6F643DD9">
            <w:pPr>
              <w:snapToGrid w:val="0"/>
              <w:spacing w:line="700" w:lineRule="exact"/>
              <w:rPr>
                <w:rFonts w:eastAsia="仿宋_GB2312"/>
                <w:sz w:val="24"/>
                <w:szCs w:val="24"/>
              </w:rPr>
            </w:pPr>
            <w:r>
              <w:rPr>
                <w:rFonts w:eastAsia="仿宋_GB2312"/>
                <w:sz w:val="24"/>
                <w:szCs w:val="24"/>
              </w:rPr>
              <w:t>单位地址：</w:t>
            </w:r>
          </w:p>
          <w:p w14:paraId="73A59934">
            <w:pPr>
              <w:snapToGrid w:val="0"/>
              <w:spacing w:line="700" w:lineRule="exact"/>
              <w:rPr>
                <w:rFonts w:eastAsia="仿宋_GB2312"/>
                <w:sz w:val="24"/>
                <w:szCs w:val="24"/>
              </w:rPr>
            </w:pPr>
            <w:r>
              <w:rPr>
                <w:rFonts w:eastAsia="仿宋_GB2312"/>
                <w:sz w:val="24"/>
                <w:szCs w:val="24"/>
              </w:rPr>
              <w:t xml:space="preserve">开户银行： </w:t>
            </w:r>
          </w:p>
          <w:p w14:paraId="32F344F8">
            <w:pPr>
              <w:snapToGrid w:val="0"/>
              <w:spacing w:line="700" w:lineRule="exact"/>
              <w:rPr>
                <w:rFonts w:eastAsia="仿宋_GB2312"/>
                <w:sz w:val="24"/>
                <w:szCs w:val="24"/>
              </w:rPr>
            </w:pPr>
            <w:r>
              <w:rPr>
                <w:rFonts w:eastAsia="仿宋_GB2312"/>
                <w:sz w:val="24"/>
                <w:szCs w:val="24"/>
              </w:rPr>
              <w:t>账号：</w:t>
            </w:r>
          </w:p>
          <w:p w14:paraId="39A9B948">
            <w:pPr>
              <w:snapToGrid w:val="0"/>
              <w:spacing w:line="700" w:lineRule="exact"/>
              <w:rPr>
                <w:rFonts w:eastAsia="仿宋_GB2312"/>
                <w:sz w:val="24"/>
                <w:szCs w:val="24"/>
              </w:rPr>
            </w:pPr>
            <w:r>
              <w:rPr>
                <w:rFonts w:eastAsia="仿宋_GB2312"/>
                <w:sz w:val="24"/>
                <w:szCs w:val="24"/>
              </w:rPr>
              <w:t>日期：202</w:t>
            </w:r>
            <w:r>
              <w:rPr>
                <w:rFonts w:hint="eastAsia" w:eastAsia="仿宋_GB2312"/>
                <w:sz w:val="24"/>
                <w:szCs w:val="24"/>
              </w:rPr>
              <w:t>5</w:t>
            </w:r>
            <w:r>
              <w:rPr>
                <w:rFonts w:eastAsia="仿宋_GB2312"/>
                <w:sz w:val="24"/>
                <w:szCs w:val="24"/>
              </w:rPr>
              <w:t>年  月  日</w:t>
            </w:r>
          </w:p>
        </w:tc>
      </w:tr>
    </w:tbl>
    <w:p w14:paraId="1025DC90">
      <w:pPr>
        <w:rPr>
          <w:sz w:val="24"/>
          <w:szCs w:val="24"/>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B75D">
    <w:pPr>
      <w:pStyle w:val="1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C7D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BE7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33B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62CC">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960B">
    <w:pPr>
      <w:pStyle w:val="14"/>
      <w:pBdr>
        <w:bottom w:val="none" w:color="auto" w:sz="0" w:space="0"/>
      </w:pBdr>
    </w:pPr>
  </w:p>
  <w:p w14:paraId="190803D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F1EF">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CEF2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5A1A">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abstractNum w:abstractNumId="1">
    <w:nsid w:val="64A25FB8"/>
    <w:multiLevelType w:val="singleLevel"/>
    <w:tmpl w:val="64A25F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44E8"/>
    <w:rsid w:val="00055968"/>
    <w:rsid w:val="00056FAF"/>
    <w:rsid w:val="0006070A"/>
    <w:rsid w:val="00060713"/>
    <w:rsid w:val="00064695"/>
    <w:rsid w:val="00072717"/>
    <w:rsid w:val="0007516F"/>
    <w:rsid w:val="00082874"/>
    <w:rsid w:val="00085108"/>
    <w:rsid w:val="00087099"/>
    <w:rsid w:val="00090501"/>
    <w:rsid w:val="00090E11"/>
    <w:rsid w:val="0009500B"/>
    <w:rsid w:val="000952E0"/>
    <w:rsid w:val="00096E1E"/>
    <w:rsid w:val="000A39DE"/>
    <w:rsid w:val="000A3F87"/>
    <w:rsid w:val="000A7B43"/>
    <w:rsid w:val="000B1BE4"/>
    <w:rsid w:val="000B73F8"/>
    <w:rsid w:val="000C5BC7"/>
    <w:rsid w:val="000C6ED3"/>
    <w:rsid w:val="000D1151"/>
    <w:rsid w:val="000D591A"/>
    <w:rsid w:val="000D5DF1"/>
    <w:rsid w:val="000E0C92"/>
    <w:rsid w:val="000E5062"/>
    <w:rsid w:val="000F56B2"/>
    <w:rsid w:val="000F572F"/>
    <w:rsid w:val="000F5A46"/>
    <w:rsid w:val="000F6B09"/>
    <w:rsid w:val="00100E7C"/>
    <w:rsid w:val="00105DCD"/>
    <w:rsid w:val="00107C88"/>
    <w:rsid w:val="001114A1"/>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6993"/>
    <w:rsid w:val="00174477"/>
    <w:rsid w:val="00175357"/>
    <w:rsid w:val="001754E8"/>
    <w:rsid w:val="00175A9F"/>
    <w:rsid w:val="001773E6"/>
    <w:rsid w:val="00187013"/>
    <w:rsid w:val="00191122"/>
    <w:rsid w:val="00191D5C"/>
    <w:rsid w:val="0019238B"/>
    <w:rsid w:val="00195B94"/>
    <w:rsid w:val="00196FB7"/>
    <w:rsid w:val="001A29A6"/>
    <w:rsid w:val="001A2F70"/>
    <w:rsid w:val="001A460E"/>
    <w:rsid w:val="001A6E9D"/>
    <w:rsid w:val="001B1E67"/>
    <w:rsid w:val="001B5082"/>
    <w:rsid w:val="001C3ABE"/>
    <w:rsid w:val="001D27C2"/>
    <w:rsid w:val="001D37FC"/>
    <w:rsid w:val="001D7C39"/>
    <w:rsid w:val="001E3CF4"/>
    <w:rsid w:val="001F429A"/>
    <w:rsid w:val="001F4430"/>
    <w:rsid w:val="00204D4D"/>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5741"/>
    <w:rsid w:val="00266F1E"/>
    <w:rsid w:val="002739B0"/>
    <w:rsid w:val="00276F32"/>
    <w:rsid w:val="00280F60"/>
    <w:rsid w:val="0028311B"/>
    <w:rsid w:val="00283442"/>
    <w:rsid w:val="0028685D"/>
    <w:rsid w:val="002902D1"/>
    <w:rsid w:val="002906A8"/>
    <w:rsid w:val="00297EC2"/>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E2356"/>
    <w:rsid w:val="002E2887"/>
    <w:rsid w:val="002E4744"/>
    <w:rsid w:val="002E518D"/>
    <w:rsid w:val="002E5D2D"/>
    <w:rsid w:val="002F13AA"/>
    <w:rsid w:val="002F1D21"/>
    <w:rsid w:val="002F4BD7"/>
    <w:rsid w:val="003017A0"/>
    <w:rsid w:val="00303F44"/>
    <w:rsid w:val="003100B4"/>
    <w:rsid w:val="00310E83"/>
    <w:rsid w:val="0031282C"/>
    <w:rsid w:val="00314C72"/>
    <w:rsid w:val="00317A41"/>
    <w:rsid w:val="00320268"/>
    <w:rsid w:val="003205A4"/>
    <w:rsid w:val="00321465"/>
    <w:rsid w:val="00321884"/>
    <w:rsid w:val="00323BD5"/>
    <w:rsid w:val="00324EE5"/>
    <w:rsid w:val="00327887"/>
    <w:rsid w:val="00331F1D"/>
    <w:rsid w:val="00332A57"/>
    <w:rsid w:val="00340237"/>
    <w:rsid w:val="00341599"/>
    <w:rsid w:val="00342F28"/>
    <w:rsid w:val="00343980"/>
    <w:rsid w:val="00347A7E"/>
    <w:rsid w:val="00347C3D"/>
    <w:rsid w:val="00354408"/>
    <w:rsid w:val="00364E79"/>
    <w:rsid w:val="00365F52"/>
    <w:rsid w:val="00377807"/>
    <w:rsid w:val="003935DF"/>
    <w:rsid w:val="00397BBE"/>
    <w:rsid w:val="003A0383"/>
    <w:rsid w:val="003A1E85"/>
    <w:rsid w:val="003A416F"/>
    <w:rsid w:val="003C62A6"/>
    <w:rsid w:val="003C7DE3"/>
    <w:rsid w:val="003D7247"/>
    <w:rsid w:val="003E7C6A"/>
    <w:rsid w:val="003F2243"/>
    <w:rsid w:val="003F3FC0"/>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2547"/>
    <w:rsid w:val="00483BED"/>
    <w:rsid w:val="00485E95"/>
    <w:rsid w:val="00490494"/>
    <w:rsid w:val="004909BE"/>
    <w:rsid w:val="004940C4"/>
    <w:rsid w:val="004A1985"/>
    <w:rsid w:val="004A1C10"/>
    <w:rsid w:val="004A1CA7"/>
    <w:rsid w:val="004A5959"/>
    <w:rsid w:val="004A65AF"/>
    <w:rsid w:val="004B75A3"/>
    <w:rsid w:val="004C4E5D"/>
    <w:rsid w:val="004C50B8"/>
    <w:rsid w:val="004C5467"/>
    <w:rsid w:val="004C5C5B"/>
    <w:rsid w:val="004C7F69"/>
    <w:rsid w:val="004D0BB2"/>
    <w:rsid w:val="004E0719"/>
    <w:rsid w:val="004E4CD6"/>
    <w:rsid w:val="004E64EB"/>
    <w:rsid w:val="004E79ED"/>
    <w:rsid w:val="004F1C44"/>
    <w:rsid w:val="004F3E35"/>
    <w:rsid w:val="004F404B"/>
    <w:rsid w:val="004F5023"/>
    <w:rsid w:val="004F7135"/>
    <w:rsid w:val="004F7231"/>
    <w:rsid w:val="005024A2"/>
    <w:rsid w:val="00505EE6"/>
    <w:rsid w:val="00515664"/>
    <w:rsid w:val="005302AF"/>
    <w:rsid w:val="005320DD"/>
    <w:rsid w:val="00533868"/>
    <w:rsid w:val="00536536"/>
    <w:rsid w:val="00537789"/>
    <w:rsid w:val="005467DE"/>
    <w:rsid w:val="00551FF5"/>
    <w:rsid w:val="00555E16"/>
    <w:rsid w:val="005561AE"/>
    <w:rsid w:val="00564F72"/>
    <w:rsid w:val="00566B50"/>
    <w:rsid w:val="0057196A"/>
    <w:rsid w:val="00573EE4"/>
    <w:rsid w:val="00573F19"/>
    <w:rsid w:val="0057678E"/>
    <w:rsid w:val="00576D2D"/>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709F"/>
    <w:rsid w:val="005D2E34"/>
    <w:rsid w:val="005E68D3"/>
    <w:rsid w:val="005F1F36"/>
    <w:rsid w:val="005F1FED"/>
    <w:rsid w:val="005F363F"/>
    <w:rsid w:val="005F386C"/>
    <w:rsid w:val="005F595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073B"/>
    <w:rsid w:val="006420B1"/>
    <w:rsid w:val="006440FF"/>
    <w:rsid w:val="006453A9"/>
    <w:rsid w:val="006459D6"/>
    <w:rsid w:val="006459F0"/>
    <w:rsid w:val="00650281"/>
    <w:rsid w:val="0065272E"/>
    <w:rsid w:val="0066426A"/>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081E"/>
    <w:rsid w:val="0070169B"/>
    <w:rsid w:val="0071006D"/>
    <w:rsid w:val="00710303"/>
    <w:rsid w:val="00716F4C"/>
    <w:rsid w:val="00720B76"/>
    <w:rsid w:val="007222CB"/>
    <w:rsid w:val="007273BE"/>
    <w:rsid w:val="00741237"/>
    <w:rsid w:val="00742D93"/>
    <w:rsid w:val="007501E4"/>
    <w:rsid w:val="007561BE"/>
    <w:rsid w:val="00760496"/>
    <w:rsid w:val="00763B53"/>
    <w:rsid w:val="00765B98"/>
    <w:rsid w:val="00766902"/>
    <w:rsid w:val="00766F94"/>
    <w:rsid w:val="00773E37"/>
    <w:rsid w:val="007744F1"/>
    <w:rsid w:val="00776DC1"/>
    <w:rsid w:val="00777D99"/>
    <w:rsid w:val="00782783"/>
    <w:rsid w:val="007841EB"/>
    <w:rsid w:val="007843F0"/>
    <w:rsid w:val="007850E6"/>
    <w:rsid w:val="007858D9"/>
    <w:rsid w:val="007878A0"/>
    <w:rsid w:val="007A4E0F"/>
    <w:rsid w:val="007B4CC0"/>
    <w:rsid w:val="007C15A5"/>
    <w:rsid w:val="007C2F24"/>
    <w:rsid w:val="007C559F"/>
    <w:rsid w:val="007C5AE1"/>
    <w:rsid w:val="007D47CE"/>
    <w:rsid w:val="007D51EE"/>
    <w:rsid w:val="007E2851"/>
    <w:rsid w:val="007E2EDC"/>
    <w:rsid w:val="007F08B0"/>
    <w:rsid w:val="007F2B57"/>
    <w:rsid w:val="00801318"/>
    <w:rsid w:val="00801417"/>
    <w:rsid w:val="0080262E"/>
    <w:rsid w:val="00802D1F"/>
    <w:rsid w:val="00812F51"/>
    <w:rsid w:val="00813EE7"/>
    <w:rsid w:val="008143A0"/>
    <w:rsid w:val="00816243"/>
    <w:rsid w:val="00820E77"/>
    <w:rsid w:val="00822AB8"/>
    <w:rsid w:val="0083116F"/>
    <w:rsid w:val="00832445"/>
    <w:rsid w:val="00832766"/>
    <w:rsid w:val="00833CFD"/>
    <w:rsid w:val="0083583D"/>
    <w:rsid w:val="008368A8"/>
    <w:rsid w:val="00837724"/>
    <w:rsid w:val="008409C1"/>
    <w:rsid w:val="008444D0"/>
    <w:rsid w:val="00854443"/>
    <w:rsid w:val="00861766"/>
    <w:rsid w:val="00861DB4"/>
    <w:rsid w:val="00861F16"/>
    <w:rsid w:val="00863086"/>
    <w:rsid w:val="00864C89"/>
    <w:rsid w:val="008658C3"/>
    <w:rsid w:val="00866017"/>
    <w:rsid w:val="00870274"/>
    <w:rsid w:val="0088438A"/>
    <w:rsid w:val="00885A00"/>
    <w:rsid w:val="00890FFF"/>
    <w:rsid w:val="008911AE"/>
    <w:rsid w:val="00896972"/>
    <w:rsid w:val="00896D5A"/>
    <w:rsid w:val="008A1815"/>
    <w:rsid w:val="008A2CE3"/>
    <w:rsid w:val="008A2F34"/>
    <w:rsid w:val="008B25E1"/>
    <w:rsid w:val="008B7551"/>
    <w:rsid w:val="008C3684"/>
    <w:rsid w:val="008C73AA"/>
    <w:rsid w:val="008D1080"/>
    <w:rsid w:val="008D166A"/>
    <w:rsid w:val="008F27E6"/>
    <w:rsid w:val="008F32A1"/>
    <w:rsid w:val="008F5DBD"/>
    <w:rsid w:val="00903C60"/>
    <w:rsid w:val="009042BD"/>
    <w:rsid w:val="00905179"/>
    <w:rsid w:val="00905C2B"/>
    <w:rsid w:val="00907A26"/>
    <w:rsid w:val="00911649"/>
    <w:rsid w:val="00912204"/>
    <w:rsid w:val="00936714"/>
    <w:rsid w:val="0094490F"/>
    <w:rsid w:val="00946E24"/>
    <w:rsid w:val="00965793"/>
    <w:rsid w:val="00971471"/>
    <w:rsid w:val="00984822"/>
    <w:rsid w:val="00985FF2"/>
    <w:rsid w:val="009861E8"/>
    <w:rsid w:val="009864F6"/>
    <w:rsid w:val="009901E8"/>
    <w:rsid w:val="00990E7C"/>
    <w:rsid w:val="00995138"/>
    <w:rsid w:val="00995C19"/>
    <w:rsid w:val="00996960"/>
    <w:rsid w:val="0099732B"/>
    <w:rsid w:val="009A1BFD"/>
    <w:rsid w:val="009B4750"/>
    <w:rsid w:val="009B53BE"/>
    <w:rsid w:val="009B65D1"/>
    <w:rsid w:val="009B70A6"/>
    <w:rsid w:val="009C02A7"/>
    <w:rsid w:val="009C6A43"/>
    <w:rsid w:val="009C7B85"/>
    <w:rsid w:val="009D09BC"/>
    <w:rsid w:val="009D0D05"/>
    <w:rsid w:val="009D10AB"/>
    <w:rsid w:val="009D65E2"/>
    <w:rsid w:val="009D767E"/>
    <w:rsid w:val="009E5CAC"/>
    <w:rsid w:val="009F1196"/>
    <w:rsid w:val="009F3D61"/>
    <w:rsid w:val="00A02579"/>
    <w:rsid w:val="00A05467"/>
    <w:rsid w:val="00A05B9F"/>
    <w:rsid w:val="00A21D11"/>
    <w:rsid w:val="00A23CF8"/>
    <w:rsid w:val="00A27A5C"/>
    <w:rsid w:val="00A30DAB"/>
    <w:rsid w:val="00A31835"/>
    <w:rsid w:val="00A37B6B"/>
    <w:rsid w:val="00A4266D"/>
    <w:rsid w:val="00A43BEB"/>
    <w:rsid w:val="00A45CCC"/>
    <w:rsid w:val="00A4686E"/>
    <w:rsid w:val="00A54B62"/>
    <w:rsid w:val="00A54FC6"/>
    <w:rsid w:val="00A5577F"/>
    <w:rsid w:val="00A56FA4"/>
    <w:rsid w:val="00A57A8E"/>
    <w:rsid w:val="00A607DE"/>
    <w:rsid w:val="00A61A64"/>
    <w:rsid w:val="00A628A2"/>
    <w:rsid w:val="00A63671"/>
    <w:rsid w:val="00A64314"/>
    <w:rsid w:val="00A66515"/>
    <w:rsid w:val="00A8453D"/>
    <w:rsid w:val="00A8554A"/>
    <w:rsid w:val="00A86765"/>
    <w:rsid w:val="00A90371"/>
    <w:rsid w:val="00A90445"/>
    <w:rsid w:val="00A93C17"/>
    <w:rsid w:val="00A94B5B"/>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3676"/>
    <w:rsid w:val="00BD589D"/>
    <w:rsid w:val="00BD68F4"/>
    <w:rsid w:val="00BE2F5E"/>
    <w:rsid w:val="00BE7125"/>
    <w:rsid w:val="00BF2F41"/>
    <w:rsid w:val="00BF42E6"/>
    <w:rsid w:val="00BF5D4B"/>
    <w:rsid w:val="00BF6857"/>
    <w:rsid w:val="00BF761D"/>
    <w:rsid w:val="00BF78FA"/>
    <w:rsid w:val="00C003CB"/>
    <w:rsid w:val="00C020BA"/>
    <w:rsid w:val="00C03202"/>
    <w:rsid w:val="00C04B00"/>
    <w:rsid w:val="00C06113"/>
    <w:rsid w:val="00C127B6"/>
    <w:rsid w:val="00C14EE5"/>
    <w:rsid w:val="00C1569B"/>
    <w:rsid w:val="00C16200"/>
    <w:rsid w:val="00C16808"/>
    <w:rsid w:val="00C25D8B"/>
    <w:rsid w:val="00C26160"/>
    <w:rsid w:val="00C26CB6"/>
    <w:rsid w:val="00C31714"/>
    <w:rsid w:val="00C33DB1"/>
    <w:rsid w:val="00C33F18"/>
    <w:rsid w:val="00C41D28"/>
    <w:rsid w:val="00C45D60"/>
    <w:rsid w:val="00C4628D"/>
    <w:rsid w:val="00C636DC"/>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5BA6"/>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26DBA"/>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73CA"/>
    <w:rsid w:val="00DA6CF6"/>
    <w:rsid w:val="00DA70E8"/>
    <w:rsid w:val="00DB164A"/>
    <w:rsid w:val="00DC2387"/>
    <w:rsid w:val="00DC3B2C"/>
    <w:rsid w:val="00DD5F43"/>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2532"/>
    <w:rsid w:val="00E855CB"/>
    <w:rsid w:val="00E8657B"/>
    <w:rsid w:val="00E87DA4"/>
    <w:rsid w:val="00E87E6E"/>
    <w:rsid w:val="00EB4160"/>
    <w:rsid w:val="00EB4C14"/>
    <w:rsid w:val="00EB60E0"/>
    <w:rsid w:val="00EC16A1"/>
    <w:rsid w:val="00EC49E1"/>
    <w:rsid w:val="00ED55EF"/>
    <w:rsid w:val="00EE5414"/>
    <w:rsid w:val="00EE6464"/>
    <w:rsid w:val="00EF0BC1"/>
    <w:rsid w:val="00EF1C8D"/>
    <w:rsid w:val="00EF1E0F"/>
    <w:rsid w:val="00F0551B"/>
    <w:rsid w:val="00F130CB"/>
    <w:rsid w:val="00F1496F"/>
    <w:rsid w:val="00F177EA"/>
    <w:rsid w:val="00F2123C"/>
    <w:rsid w:val="00F313F3"/>
    <w:rsid w:val="00F33E03"/>
    <w:rsid w:val="00F47535"/>
    <w:rsid w:val="00F50856"/>
    <w:rsid w:val="00F53B73"/>
    <w:rsid w:val="00F57231"/>
    <w:rsid w:val="00F62A0C"/>
    <w:rsid w:val="00F65528"/>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FD9"/>
    <w:rsid w:val="00FE7AB5"/>
    <w:rsid w:val="00FF0911"/>
    <w:rsid w:val="00FF1B13"/>
    <w:rsid w:val="02856E17"/>
    <w:rsid w:val="03201948"/>
    <w:rsid w:val="052E5036"/>
    <w:rsid w:val="05475C7D"/>
    <w:rsid w:val="08855F10"/>
    <w:rsid w:val="09D47BA6"/>
    <w:rsid w:val="0B372620"/>
    <w:rsid w:val="0E47296E"/>
    <w:rsid w:val="12197D34"/>
    <w:rsid w:val="13E9022F"/>
    <w:rsid w:val="16652130"/>
    <w:rsid w:val="188A3C05"/>
    <w:rsid w:val="19A47EFE"/>
    <w:rsid w:val="1B8C10D1"/>
    <w:rsid w:val="1D561D4F"/>
    <w:rsid w:val="1E246973"/>
    <w:rsid w:val="1F6D7F66"/>
    <w:rsid w:val="1F7E4814"/>
    <w:rsid w:val="1FF77F05"/>
    <w:rsid w:val="20882D46"/>
    <w:rsid w:val="220D2602"/>
    <w:rsid w:val="2230793F"/>
    <w:rsid w:val="2394429B"/>
    <w:rsid w:val="267E2ED3"/>
    <w:rsid w:val="27D775D0"/>
    <w:rsid w:val="29F5023A"/>
    <w:rsid w:val="2BFB2D9E"/>
    <w:rsid w:val="2E0E0CDE"/>
    <w:rsid w:val="2EF1556D"/>
    <w:rsid w:val="31CA1DF5"/>
    <w:rsid w:val="34AF7F35"/>
    <w:rsid w:val="360B61FC"/>
    <w:rsid w:val="381609EC"/>
    <w:rsid w:val="397367C5"/>
    <w:rsid w:val="39834C44"/>
    <w:rsid w:val="3B636428"/>
    <w:rsid w:val="3EC52EA2"/>
    <w:rsid w:val="3F3436CF"/>
    <w:rsid w:val="3FAC0C17"/>
    <w:rsid w:val="454162A9"/>
    <w:rsid w:val="466849EA"/>
    <w:rsid w:val="47B66BEA"/>
    <w:rsid w:val="48AB2765"/>
    <w:rsid w:val="4ADD414B"/>
    <w:rsid w:val="4E4F4151"/>
    <w:rsid w:val="4EC31C76"/>
    <w:rsid w:val="4F8B112C"/>
    <w:rsid w:val="4FB70C06"/>
    <w:rsid w:val="508610D9"/>
    <w:rsid w:val="50892C1E"/>
    <w:rsid w:val="516F457D"/>
    <w:rsid w:val="529964C8"/>
    <w:rsid w:val="52AF7EFD"/>
    <w:rsid w:val="535F5ECA"/>
    <w:rsid w:val="53A56FC8"/>
    <w:rsid w:val="54784F7B"/>
    <w:rsid w:val="547B2C74"/>
    <w:rsid w:val="54A2116D"/>
    <w:rsid w:val="56903A88"/>
    <w:rsid w:val="57B57870"/>
    <w:rsid w:val="58390B8D"/>
    <w:rsid w:val="5A6641D5"/>
    <w:rsid w:val="5D5D12B5"/>
    <w:rsid w:val="5E88492B"/>
    <w:rsid w:val="5F4426F3"/>
    <w:rsid w:val="60FB291D"/>
    <w:rsid w:val="64E408D2"/>
    <w:rsid w:val="65917691"/>
    <w:rsid w:val="66F2031E"/>
    <w:rsid w:val="68700722"/>
    <w:rsid w:val="69460CF2"/>
    <w:rsid w:val="6A010FA4"/>
    <w:rsid w:val="6A1F2035"/>
    <w:rsid w:val="6A690BF6"/>
    <w:rsid w:val="6BF568E6"/>
    <w:rsid w:val="6C517198"/>
    <w:rsid w:val="6D237483"/>
    <w:rsid w:val="6D451AD2"/>
    <w:rsid w:val="6D7F4FB2"/>
    <w:rsid w:val="6E855435"/>
    <w:rsid w:val="6FA80F35"/>
    <w:rsid w:val="70341FB0"/>
    <w:rsid w:val="70E909E4"/>
    <w:rsid w:val="716D6711"/>
    <w:rsid w:val="73972979"/>
    <w:rsid w:val="761B17FD"/>
    <w:rsid w:val="762304F4"/>
    <w:rsid w:val="76734827"/>
    <w:rsid w:val="7A0372E4"/>
    <w:rsid w:val="7B5573A2"/>
    <w:rsid w:val="7B9652C4"/>
    <w:rsid w:val="7BBD2E8F"/>
    <w:rsid w:val="7D844C93"/>
    <w:rsid w:val="7DB21446"/>
    <w:rsid w:val="7F211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link w:val="8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2"/>
    <w:qFormat/>
    <w:uiPriority w:val="9"/>
    <w:pPr>
      <w:widowControl/>
      <w:spacing w:before="100" w:beforeAutospacing="1" w:after="100" w:afterAutospacing="1"/>
      <w:jc w:val="left"/>
      <w:outlineLvl w:val="3"/>
    </w:pPr>
    <w:rPr>
      <w:rFonts w:ascii="宋体" w:hAnsi="宋体"/>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autoRedefine/>
    <w:qFormat/>
    <w:uiPriority w:val="0"/>
    <w:pPr>
      <w:shd w:val="clear" w:color="auto" w:fill="000080"/>
    </w:pPr>
    <w:rPr>
      <w:sz w:val="2"/>
      <w:szCs w:val="2"/>
    </w:rPr>
  </w:style>
  <w:style w:type="paragraph" w:styleId="6">
    <w:name w:val="annotation text"/>
    <w:basedOn w:val="1"/>
    <w:link w:val="71"/>
    <w:autoRedefine/>
    <w:qFormat/>
    <w:uiPriority w:val="99"/>
    <w:pPr>
      <w:jc w:val="left"/>
    </w:pPr>
    <w:rPr>
      <w:rFonts w:asciiTheme="minorHAnsi" w:hAnsiTheme="minorHAnsi" w:eastAsiaTheme="minorEastAsia" w:cstheme="minorBidi"/>
      <w:szCs w:val="24"/>
    </w:rPr>
  </w:style>
  <w:style w:type="paragraph" w:styleId="7">
    <w:name w:val="Body Text"/>
    <w:basedOn w:val="1"/>
    <w:link w:val="35"/>
    <w:autoRedefine/>
    <w:qFormat/>
    <w:uiPriority w:val="0"/>
    <w:rPr>
      <w:sz w:val="24"/>
      <w:szCs w:val="24"/>
    </w:rPr>
  </w:style>
  <w:style w:type="paragraph" w:styleId="8">
    <w:name w:val="Body Text Indent"/>
    <w:basedOn w:val="1"/>
    <w:link w:val="36"/>
    <w:autoRedefine/>
    <w:qFormat/>
    <w:uiPriority w:val="99"/>
    <w:pPr>
      <w:ind w:left="313" w:leftChars="152" w:firstLine="630"/>
    </w:pPr>
  </w:style>
  <w:style w:type="paragraph" w:styleId="9">
    <w:name w:val="Plain Text"/>
    <w:basedOn w:val="1"/>
    <w:link w:val="37"/>
    <w:autoRedefine/>
    <w:qFormat/>
    <w:uiPriority w:val="0"/>
    <w:rPr>
      <w:rFonts w:ascii="宋体" w:hAnsi="Courier New"/>
    </w:rPr>
  </w:style>
  <w:style w:type="paragraph" w:styleId="10">
    <w:name w:val="Date"/>
    <w:basedOn w:val="1"/>
    <w:next w:val="1"/>
    <w:link w:val="38"/>
    <w:qFormat/>
    <w:uiPriority w:val="0"/>
    <w:pPr>
      <w:ind w:left="100" w:leftChars="2500"/>
    </w:pPr>
  </w:style>
  <w:style w:type="paragraph" w:styleId="11">
    <w:name w:val="Body Text Indent 2"/>
    <w:basedOn w:val="1"/>
    <w:link w:val="39"/>
    <w:autoRedefine/>
    <w:qFormat/>
    <w:uiPriority w:val="99"/>
    <w:pPr>
      <w:spacing w:line="220" w:lineRule="atLeast"/>
      <w:ind w:firstLine="660"/>
    </w:pPr>
  </w:style>
  <w:style w:type="paragraph" w:styleId="12">
    <w:name w:val="Balloon Text"/>
    <w:basedOn w:val="1"/>
    <w:link w:val="40"/>
    <w:qFormat/>
    <w:uiPriority w:val="0"/>
    <w:rPr>
      <w:sz w:val="2"/>
      <w:szCs w:val="2"/>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3"/>
    <w:qFormat/>
    <w:uiPriority w:val="99"/>
    <w:pPr>
      <w:spacing w:line="220" w:lineRule="atLeast"/>
      <w:ind w:firstLine="660"/>
    </w:pPr>
    <w:rPr>
      <w:sz w:val="16"/>
      <w:szCs w:val="16"/>
    </w:rPr>
  </w:style>
  <w:style w:type="paragraph" w:styleId="16">
    <w:name w:val="table of figures"/>
    <w:basedOn w:val="1"/>
    <w:next w:val="1"/>
    <w:qFormat/>
    <w:uiPriority w:val="0"/>
    <w:pPr>
      <w:ind w:left="200" w:leftChars="200" w:hanging="200" w:hangingChars="200"/>
    </w:pPr>
    <w:rPr>
      <w:szCs w:val="24"/>
    </w:rPr>
  </w:style>
  <w:style w:type="paragraph" w:styleId="17">
    <w:name w:val="toc 2"/>
    <w:basedOn w:val="1"/>
    <w:next w:val="1"/>
    <w:autoRedefine/>
    <w:qFormat/>
    <w:uiPriority w:val="39"/>
    <w:pPr>
      <w:tabs>
        <w:tab w:val="right" w:leader="dot" w:pos="8834"/>
      </w:tabs>
      <w:spacing w:line="360" w:lineRule="auto"/>
      <w:ind w:left="420" w:leftChars="200"/>
    </w:pPr>
    <w:rPr>
      <w:bCs/>
      <w:color w:val="000000"/>
      <w:sz w:val="28"/>
      <w:szCs w:val="28"/>
    </w:rPr>
  </w:style>
  <w:style w:type="paragraph" w:styleId="18">
    <w:name w:val="Body Text 2"/>
    <w:basedOn w:val="1"/>
    <w:link w:val="44"/>
    <w:autoRedefine/>
    <w:qFormat/>
    <w:uiPriority w:val="99"/>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6"/>
    <w:next w:val="6"/>
    <w:link w:val="72"/>
    <w:autoRedefine/>
    <w:unhideWhenUsed/>
    <w:qFormat/>
    <w:uiPriority w:val="0"/>
    <w:rPr>
      <w:b/>
      <w:bCs/>
    </w:rPr>
  </w:style>
  <w:style w:type="paragraph" w:styleId="22">
    <w:name w:val="Body Text First Indent 2"/>
    <w:basedOn w:val="8"/>
    <w:autoRedefine/>
    <w:qFormat/>
    <w:uiPriority w:val="0"/>
    <w:pPr>
      <w:ind w:firstLine="420" w:firstLineChars="200"/>
    </w:pPr>
    <w:rPr>
      <w:rFonts w:ascii="宋体" w:hAnsi="Calibri"/>
    </w:rPr>
  </w:style>
  <w:style w:type="table" w:styleId="24">
    <w:name w:val="Table Grid"/>
    <w:basedOn w:val="23"/>
    <w:autoRedefine/>
    <w:qFormat/>
    <w:uiPriority w:val="0"/>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autoRedefine/>
    <w:qFormat/>
    <w:uiPriority w:val="99"/>
    <w:rPr>
      <w:b/>
      <w:bCs/>
    </w:rPr>
  </w:style>
  <w:style w:type="character" w:styleId="27">
    <w:name w:val="page number"/>
    <w:basedOn w:val="25"/>
    <w:autoRedefine/>
    <w:qFormat/>
    <w:uiPriority w:val="0"/>
  </w:style>
  <w:style w:type="character" w:styleId="28">
    <w:name w:val="FollowedHyperlink"/>
    <w:autoRedefine/>
    <w:qFormat/>
    <w:uiPriority w:val="99"/>
    <w:rPr>
      <w:color w:val="800080"/>
      <w:u w:val="single"/>
    </w:rPr>
  </w:style>
  <w:style w:type="character" w:styleId="29">
    <w:name w:val="Hyperlink"/>
    <w:autoRedefine/>
    <w:qFormat/>
    <w:uiPriority w:val="99"/>
    <w:rPr>
      <w:color w:val="0000FF"/>
      <w:u w:val="single"/>
    </w:rPr>
  </w:style>
  <w:style w:type="character" w:styleId="30">
    <w:name w:val="annotation reference"/>
    <w:autoRedefine/>
    <w:unhideWhenUsed/>
    <w:qFormat/>
    <w:uiPriority w:val="99"/>
    <w:rPr>
      <w:sz w:val="21"/>
      <w:szCs w:val="21"/>
    </w:rPr>
  </w:style>
  <w:style w:type="character" w:customStyle="1" w:styleId="31">
    <w:name w:val="标题 2 字符"/>
    <w:basedOn w:val="25"/>
    <w:link w:val="2"/>
    <w:autoRedefine/>
    <w:qFormat/>
    <w:uiPriority w:val="0"/>
    <w:rPr>
      <w:rFonts w:ascii="Arial" w:hAnsi="Arial" w:eastAsia="黑体" w:cs="Times New Roman"/>
      <w:b/>
      <w:bCs/>
      <w:kern w:val="0"/>
      <w:sz w:val="32"/>
      <w:szCs w:val="32"/>
    </w:rPr>
  </w:style>
  <w:style w:type="character" w:customStyle="1" w:styleId="32">
    <w:name w:val="标题 4 字符"/>
    <w:basedOn w:val="25"/>
    <w:link w:val="4"/>
    <w:autoRedefine/>
    <w:qFormat/>
    <w:uiPriority w:val="9"/>
    <w:rPr>
      <w:rFonts w:ascii="宋体" w:hAnsi="宋体" w:eastAsia="宋体" w:cs="Times New Roman"/>
      <w:b/>
      <w:bCs/>
      <w:kern w:val="0"/>
      <w:sz w:val="24"/>
      <w:szCs w:val="24"/>
    </w:rPr>
  </w:style>
  <w:style w:type="character" w:customStyle="1" w:styleId="33">
    <w:name w:val="文档结构图 字符"/>
    <w:basedOn w:val="25"/>
    <w:link w:val="5"/>
    <w:autoRedefine/>
    <w:qFormat/>
    <w:uiPriority w:val="0"/>
    <w:rPr>
      <w:rFonts w:ascii="Times New Roman" w:hAnsi="Times New Roman" w:eastAsia="宋体" w:cs="Times New Roman"/>
      <w:sz w:val="2"/>
      <w:szCs w:val="2"/>
      <w:shd w:val="clear" w:color="auto" w:fill="000080"/>
    </w:rPr>
  </w:style>
  <w:style w:type="character" w:customStyle="1" w:styleId="34">
    <w:name w:val="批注文字 Char"/>
    <w:basedOn w:val="25"/>
    <w:autoRedefine/>
    <w:qFormat/>
    <w:uiPriority w:val="99"/>
    <w:rPr>
      <w:rFonts w:ascii="Times New Roman" w:hAnsi="Times New Roman" w:eastAsia="宋体" w:cs="Times New Roman"/>
      <w:szCs w:val="21"/>
    </w:rPr>
  </w:style>
  <w:style w:type="character" w:customStyle="1" w:styleId="35">
    <w:name w:val="正文文本 字符"/>
    <w:basedOn w:val="25"/>
    <w:link w:val="7"/>
    <w:autoRedefine/>
    <w:qFormat/>
    <w:uiPriority w:val="0"/>
    <w:rPr>
      <w:rFonts w:ascii="Times New Roman" w:hAnsi="Times New Roman" w:eastAsia="宋体" w:cs="Times New Roman"/>
      <w:sz w:val="24"/>
      <w:szCs w:val="24"/>
    </w:rPr>
  </w:style>
  <w:style w:type="character" w:customStyle="1" w:styleId="36">
    <w:name w:val="正文文本缩进 字符"/>
    <w:basedOn w:val="25"/>
    <w:link w:val="8"/>
    <w:autoRedefine/>
    <w:qFormat/>
    <w:uiPriority w:val="99"/>
    <w:rPr>
      <w:rFonts w:ascii="Times New Roman" w:hAnsi="Times New Roman" w:eastAsia="宋体" w:cs="Times New Roman"/>
      <w:szCs w:val="21"/>
    </w:rPr>
  </w:style>
  <w:style w:type="character" w:customStyle="1" w:styleId="37">
    <w:name w:val="纯文本 字符"/>
    <w:basedOn w:val="25"/>
    <w:link w:val="9"/>
    <w:autoRedefine/>
    <w:qFormat/>
    <w:uiPriority w:val="0"/>
    <w:rPr>
      <w:rFonts w:ascii="宋体" w:hAnsi="Courier New" w:eastAsia="宋体" w:cs="Times New Roman"/>
      <w:szCs w:val="21"/>
    </w:rPr>
  </w:style>
  <w:style w:type="character" w:customStyle="1" w:styleId="38">
    <w:name w:val="日期 字符"/>
    <w:basedOn w:val="25"/>
    <w:link w:val="10"/>
    <w:autoRedefine/>
    <w:qFormat/>
    <w:uiPriority w:val="0"/>
    <w:rPr>
      <w:rFonts w:ascii="Times New Roman" w:hAnsi="Times New Roman" w:eastAsia="宋体" w:cs="Times New Roman"/>
      <w:szCs w:val="21"/>
    </w:rPr>
  </w:style>
  <w:style w:type="character" w:customStyle="1" w:styleId="39">
    <w:name w:val="正文文本缩进 2 字符"/>
    <w:basedOn w:val="25"/>
    <w:link w:val="11"/>
    <w:autoRedefine/>
    <w:qFormat/>
    <w:uiPriority w:val="99"/>
    <w:rPr>
      <w:rFonts w:ascii="Times New Roman" w:hAnsi="Times New Roman" w:eastAsia="宋体" w:cs="Times New Roman"/>
      <w:szCs w:val="21"/>
    </w:rPr>
  </w:style>
  <w:style w:type="character" w:customStyle="1" w:styleId="40">
    <w:name w:val="批注框文本 字符"/>
    <w:basedOn w:val="25"/>
    <w:link w:val="12"/>
    <w:autoRedefine/>
    <w:qFormat/>
    <w:uiPriority w:val="0"/>
    <w:rPr>
      <w:rFonts w:ascii="Times New Roman" w:hAnsi="Times New Roman" w:eastAsia="宋体" w:cs="Times New Roman"/>
      <w:sz w:val="2"/>
      <w:szCs w:val="2"/>
    </w:rPr>
  </w:style>
  <w:style w:type="character" w:customStyle="1" w:styleId="41">
    <w:name w:val="页脚 字符"/>
    <w:basedOn w:val="25"/>
    <w:link w:val="13"/>
    <w:autoRedefine/>
    <w:qFormat/>
    <w:uiPriority w:val="99"/>
    <w:rPr>
      <w:rFonts w:ascii="Times New Roman" w:hAnsi="Times New Roman" w:eastAsia="宋体" w:cs="Times New Roman"/>
      <w:sz w:val="18"/>
      <w:szCs w:val="18"/>
    </w:rPr>
  </w:style>
  <w:style w:type="character" w:customStyle="1" w:styleId="42">
    <w:name w:val="页眉 字符"/>
    <w:basedOn w:val="25"/>
    <w:link w:val="14"/>
    <w:autoRedefine/>
    <w:qFormat/>
    <w:uiPriority w:val="0"/>
    <w:rPr>
      <w:rFonts w:ascii="Times New Roman" w:hAnsi="Times New Roman" w:eastAsia="宋体" w:cs="Times New Roman"/>
      <w:sz w:val="18"/>
      <w:szCs w:val="18"/>
    </w:rPr>
  </w:style>
  <w:style w:type="character" w:customStyle="1" w:styleId="43">
    <w:name w:val="正文文本缩进 3 字符"/>
    <w:basedOn w:val="25"/>
    <w:link w:val="15"/>
    <w:autoRedefine/>
    <w:qFormat/>
    <w:uiPriority w:val="99"/>
    <w:rPr>
      <w:rFonts w:ascii="Times New Roman" w:hAnsi="Times New Roman" w:eastAsia="宋体" w:cs="Times New Roman"/>
      <w:sz w:val="16"/>
      <w:szCs w:val="16"/>
    </w:rPr>
  </w:style>
  <w:style w:type="character" w:customStyle="1" w:styleId="44">
    <w:name w:val="正文文本 2 字符"/>
    <w:basedOn w:val="25"/>
    <w:link w:val="18"/>
    <w:autoRedefine/>
    <w:qFormat/>
    <w:uiPriority w:val="99"/>
    <w:rPr>
      <w:rFonts w:ascii="Times New Roman" w:hAnsi="Times New Roman" w:eastAsia="宋体" w:cs="Times New Roman"/>
      <w:szCs w:val="21"/>
    </w:rPr>
  </w:style>
  <w:style w:type="character" w:customStyle="1" w:styleId="45">
    <w:name w:val="批注主题 Char"/>
    <w:basedOn w:val="34"/>
    <w:autoRedefine/>
    <w:qFormat/>
    <w:uiPriority w:val="0"/>
    <w:rPr>
      <w:rFonts w:ascii="Times New Roman" w:hAnsi="Times New Roman" w:eastAsia="宋体" w:cs="Times New Roman"/>
      <w:b/>
      <w:bCs/>
      <w:szCs w:val="21"/>
    </w:rPr>
  </w:style>
  <w:style w:type="character" w:customStyle="1" w:styleId="46">
    <w:name w:val="content1"/>
    <w:autoRedefine/>
    <w:qFormat/>
    <w:uiPriority w:val="99"/>
    <w:rPr>
      <w:sz w:val="21"/>
      <w:szCs w:val="21"/>
    </w:rPr>
  </w:style>
  <w:style w:type="character" w:customStyle="1" w:styleId="47">
    <w:name w:val="Body Text Char1"/>
    <w:autoRedefine/>
    <w:qFormat/>
    <w:uiPriority w:val="99"/>
    <w:rPr>
      <w:kern w:val="2"/>
      <w:sz w:val="21"/>
      <w:szCs w:val="21"/>
    </w:rPr>
  </w:style>
  <w:style w:type="paragraph" w:customStyle="1" w:styleId="48">
    <w:name w:val="Char"/>
    <w:basedOn w:val="1"/>
    <w:autoRedefine/>
    <w:qFormat/>
    <w:uiPriority w:val="0"/>
  </w:style>
  <w:style w:type="paragraph" w:customStyle="1" w:styleId="49">
    <w:name w:val="Char Char Char Char Char Char"/>
    <w:basedOn w:val="1"/>
    <w:autoRedefine/>
    <w:qFormat/>
    <w:uiPriority w:val="99"/>
  </w:style>
  <w:style w:type="paragraph" w:customStyle="1" w:styleId="50">
    <w:name w:val="Char2"/>
    <w:basedOn w:val="1"/>
    <w:autoRedefine/>
    <w:qFormat/>
    <w:uiPriority w:val="99"/>
  </w:style>
  <w:style w:type="paragraph" w:customStyle="1" w:styleId="51">
    <w:name w:val="Char1"/>
    <w:basedOn w:val="1"/>
    <w:autoRedefine/>
    <w:qFormat/>
    <w:uiPriority w:val="0"/>
    <w:pPr>
      <w:snapToGrid w:val="0"/>
      <w:spacing w:line="360" w:lineRule="auto"/>
    </w:pPr>
    <w:rPr>
      <w:b/>
      <w:bCs/>
      <w:sz w:val="24"/>
      <w:szCs w:val="24"/>
    </w:rPr>
  </w:style>
  <w:style w:type="paragraph" w:customStyle="1" w:styleId="52">
    <w:name w:val="Char Char Char Char Char Char Char Char Char Char Char Char Char Char Char Char Char Char Char Char Char Char Char Char Char Char Char Char"/>
    <w:basedOn w:val="1"/>
    <w:autoRedefine/>
    <w:qFormat/>
    <w:uiPriority w:val="0"/>
  </w:style>
  <w:style w:type="paragraph" w:customStyle="1" w:styleId="53">
    <w:name w:val="Char1 Char Char Char Char Char Char"/>
    <w:basedOn w:val="1"/>
    <w:autoRedefine/>
    <w:qFormat/>
    <w:uiPriority w:val="99"/>
    <w:pPr>
      <w:spacing w:beforeLines="50" w:afterLines="50" w:line="360" w:lineRule="auto"/>
    </w:pPr>
    <w:rPr>
      <w:rFonts w:ascii="宋体" w:hAnsi="宋体" w:cs="宋体"/>
      <w:b/>
      <w:bCs/>
      <w:sz w:val="24"/>
      <w:szCs w:val="24"/>
    </w:rPr>
  </w:style>
  <w:style w:type="paragraph" w:customStyle="1" w:styleId="54">
    <w:name w:val="Char3"/>
    <w:basedOn w:val="1"/>
    <w:autoRedefine/>
    <w:qFormat/>
    <w:uiPriority w:val="99"/>
    <w:pPr>
      <w:spacing w:line="360" w:lineRule="auto"/>
      <w:ind w:firstLine="200" w:firstLineChars="200"/>
    </w:pPr>
    <w:rPr>
      <w:rFonts w:ascii="宋体" w:hAnsi="宋体" w:cs="宋体"/>
      <w:sz w:val="24"/>
      <w:szCs w:val="24"/>
    </w:rPr>
  </w:style>
  <w:style w:type="character" w:customStyle="1" w:styleId="55">
    <w:name w:val="spanctfield1"/>
    <w:autoRedefine/>
    <w:qFormat/>
    <w:uiPriority w:val="99"/>
  </w:style>
  <w:style w:type="paragraph" w:customStyle="1" w:styleId="56">
    <w:name w:val="Char Char Char Char Char Char Char Char Char Char Char Char Char Char Char Char Char Char Char Char Char Char"/>
    <w:basedOn w:val="1"/>
    <w:autoRedefine/>
    <w:qFormat/>
    <w:uiPriority w:val="99"/>
    <w:pPr>
      <w:spacing w:beforeLines="50" w:afterLines="50" w:line="360" w:lineRule="auto"/>
    </w:pPr>
    <w:rPr>
      <w:rFonts w:ascii="宋体" w:hAnsi="宋体" w:cs="宋体"/>
      <w:b/>
      <w:bCs/>
      <w:sz w:val="24"/>
      <w:szCs w:val="24"/>
    </w:rPr>
  </w:style>
  <w:style w:type="character" w:customStyle="1" w:styleId="57">
    <w:name w:val="apple-converted-space"/>
    <w:basedOn w:val="25"/>
    <w:autoRedefine/>
    <w:qFormat/>
    <w:uiPriority w:val="0"/>
  </w:style>
  <w:style w:type="character" w:customStyle="1" w:styleId="58">
    <w:name w:val="grame"/>
    <w:basedOn w:val="25"/>
    <w:autoRedefine/>
    <w:qFormat/>
    <w:uiPriority w:val="99"/>
  </w:style>
  <w:style w:type="paragraph" w:customStyle="1" w:styleId="59">
    <w:name w:val="列出段落1"/>
    <w:basedOn w:val="1"/>
    <w:autoRedefine/>
    <w:qFormat/>
    <w:uiPriority w:val="0"/>
    <w:pPr>
      <w:ind w:firstLine="420" w:firstLineChars="200"/>
    </w:pPr>
    <w:rPr>
      <w:rFonts w:ascii="@方正小标宋简体" w:hAnsi="Calibri" w:eastAsia="@方正小标宋简体" w:cs="@方正小标宋简体"/>
    </w:rPr>
  </w:style>
  <w:style w:type="paragraph" w:customStyle="1" w:styleId="60">
    <w:name w:val="列出段落2"/>
    <w:basedOn w:val="1"/>
    <w:autoRedefine/>
    <w:qFormat/>
    <w:uiPriority w:val="34"/>
    <w:pPr>
      <w:ind w:firstLine="420" w:firstLineChars="200"/>
    </w:pPr>
  </w:style>
  <w:style w:type="paragraph" w:customStyle="1" w:styleId="61">
    <w:name w:val="列出段落11"/>
    <w:basedOn w:val="1"/>
    <w:qFormat/>
    <w:uiPriority w:val="0"/>
    <w:pPr>
      <w:ind w:firstLine="420" w:firstLineChars="200"/>
    </w:pPr>
    <w:rPr>
      <w:rFonts w:ascii="Calibri" w:hAnsi="Calibri"/>
    </w:rPr>
  </w:style>
  <w:style w:type="paragraph" w:customStyle="1" w:styleId="62">
    <w:name w:val="列出段落3"/>
    <w:basedOn w:val="1"/>
    <w:qFormat/>
    <w:uiPriority w:val="0"/>
    <w:pPr>
      <w:widowControl/>
      <w:ind w:firstLine="420" w:firstLineChars="200"/>
      <w:jc w:val="left"/>
    </w:pPr>
    <w:rPr>
      <w:sz w:val="24"/>
      <w:szCs w:val="24"/>
      <w:lang w:eastAsia="en-US"/>
    </w:rPr>
  </w:style>
  <w:style w:type="paragraph" w:styleId="63">
    <w:name w:val="List Paragraph"/>
    <w:basedOn w:val="1"/>
    <w:qFormat/>
    <w:uiPriority w:val="34"/>
    <w:pPr>
      <w:ind w:firstLine="420" w:firstLineChars="200"/>
    </w:pPr>
  </w:style>
  <w:style w:type="character" w:customStyle="1" w:styleId="64">
    <w:name w:val="无间隔 字符"/>
    <w:basedOn w:val="25"/>
    <w:link w:val="65"/>
    <w:qFormat/>
    <w:uiPriority w:val="1"/>
    <w:rPr>
      <w:rFonts w:ascii="Calibri" w:hAnsi="Calibri"/>
      <w:sz w:val="22"/>
    </w:rPr>
  </w:style>
  <w:style w:type="paragraph" w:styleId="65">
    <w:name w:val="No Spacing"/>
    <w:link w:val="64"/>
    <w:qFormat/>
    <w:uiPriority w:val="1"/>
    <w:rPr>
      <w:rFonts w:ascii="Calibri" w:hAnsi="Calibri" w:eastAsiaTheme="minorEastAsia" w:cstheme="minorBidi"/>
      <w:kern w:val="2"/>
      <w:sz w:val="22"/>
      <w:szCs w:val="22"/>
      <w:lang w:val="en-US" w:eastAsia="zh-CN" w:bidi="ar-SA"/>
    </w:rPr>
  </w:style>
  <w:style w:type="character" w:customStyle="1" w:styleId="66">
    <w:name w:val="z-窗体顶端 Char"/>
    <w:basedOn w:val="25"/>
    <w:link w:val="67"/>
    <w:qFormat/>
    <w:uiPriority w:val="99"/>
    <w:rPr>
      <w:rFonts w:ascii="Arial" w:hAnsi="Arial"/>
      <w:vanish/>
      <w:sz w:val="16"/>
      <w:szCs w:val="16"/>
    </w:rPr>
  </w:style>
  <w:style w:type="paragraph" w:customStyle="1" w:styleId="67">
    <w:name w:val="z-窗体顶端1"/>
    <w:basedOn w:val="1"/>
    <w:next w:val="1"/>
    <w:link w:val="66"/>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68">
    <w:name w:val="z-窗体底端 Char"/>
    <w:basedOn w:val="25"/>
    <w:link w:val="69"/>
    <w:qFormat/>
    <w:uiPriority w:val="99"/>
    <w:rPr>
      <w:rFonts w:ascii="Arial" w:hAnsi="Arial"/>
      <w:vanish/>
      <w:sz w:val="16"/>
      <w:szCs w:val="16"/>
    </w:rPr>
  </w:style>
  <w:style w:type="paragraph" w:customStyle="1" w:styleId="69">
    <w:name w:val="z-窗体底端1"/>
    <w:basedOn w:val="1"/>
    <w:next w:val="1"/>
    <w:link w:val="68"/>
    <w:unhideWhenUsed/>
    <w:qFormat/>
    <w:uiPriority w:val="99"/>
    <w:pPr>
      <w:widowControl/>
      <w:pBdr>
        <w:top w:val="single" w:color="auto" w:sz="6" w:space="1"/>
      </w:pBdr>
      <w:jc w:val="center"/>
    </w:pPr>
    <w:rPr>
      <w:rFonts w:ascii="Arial" w:hAnsi="Arial" w:eastAsiaTheme="minorEastAsia" w:cstheme="minorBidi"/>
      <w:vanish/>
      <w:sz w:val="16"/>
      <w:szCs w:val="16"/>
    </w:rPr>
  </w:style>
  <w:style w:type="paragraph" w:customStyle="1" w:styleId="70">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批注文字 字符"/>
    <w:basedOn w:val="25"/>
    <w:link w:val="6"/>
    <w:qFormat/>
    <w:uiPriority w:val="0"/>
    <w:rPr>
      <w:szCs w:val="24"/>
    </w:rPr>
  </w:style>
  <w:style w:type="character" w:customStyle="1" w:styleId="72">
    <w:name w:val="批注主题 字符"/>
    <w:basedOn w:val="71"/>
    <w:link w:val="21"/>
    <w:qFormat/>
    <w:uiPriority w:val="0"/>
    <w:rPr>
      <w:b/>
      <w:bCs/>
      <w:szCs w:val="24"/>
    </w:rPr>
  </w:style>
  <w:style w:type="paragraph" w:customStyle="1" w:styleId="73">
    <w:name w:val="Char Char Char Char Char Char1 Char Char Char Char Char Char Char Char Char Char Char Char Char"/>
    <w:basedOn w:val="1"/>
    <w:qFormat/>
    <w:uiPriority w:val="0"/>
    <w:rPr>
      <w:szCs w:val="24"/>
    </w:rPr>
  </w:style>
  <w:style w:type="paragraph" w:customStyle="1" w:styleId="7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Char Char Char"/>
    <w:basedOn w:val="5"/>
    <w:qFormat/>
    <w:uiPriority w:val="0"/>
    <w:pPr>
      <w:adjustRightInd w:val="0"/>
      <w:spacing w:line="436" w:lineRule="exact"/>
      <w:ind w:left="357"/>
      <w:jc w:val="left"/>
      <w:outlineLvl w:val="3"/>
    </w:pPr>
    <w:rPr>
      <w:rFonts w:ascii="Tahoma" w:hAnsi="Tahoma"/>
      <w:b/>
      <w:sz w:val="44"/>
      <w:szCs w:val="24"/>
    </w:rPr>
  </w:style>
  <w:style w:type="paragraph" w:customStyle="1" w:styleId="77">
    <w:name w:val="p0"/>
    <w:basedOn w:val="1"/>
    <w:qFormat/>
    <w:uiPriority w:val="0"/>
    <w:pPr>
      <w:widowControl/>
    </w:pPr>
    <w:rPr>
      <w:kern w:val="0"/>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79">
    <w:name w:val="dispatch-info"/>
    <w:basedOn w:val="25"/>
    <w:qFormat/>
    <w:uiPriority w:val="0"/>
  </w:style>
  <w:style w:type="paragraph" w:customStyle="1" w:styleId="80">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1">
    <w:name w:val="customdisabled"/>
    <w:basedOn w:val="25"/>
    <w:qFormat/>
    <w:uiPriority w:val="0"/>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84">
    <w:name w:val="样式3"/>
    <w:basedOn w:val="20"/>
    <w:qFormat/>
    <w:uiPriority w:val="0"/>
    <w:rPr>
      <w:rFonts w:ascii="等线 Light" w:hAnsi="等线 Light" w:eastAsia="宋体" w:cs="Times New Roman"/>
      <w:sz w:val="36"/>
    </w:rPr>
  </w:style>
  <w:style w:type="paragraph" w:customStyle="1" w:styleId="85">
    <w:name w:val="标题3"/>
    <w:basedOn w:val="3"/>
    <w:link w:val="86"/>
    <w:qFormat/>
    <w:uiPriority w:val="0"/>
    <w:pPr>
      <w:keepNext w:val="0"/>
      <w:keepLines w:val="0"/>
      <w:snapToGrid w:val="0"/>
      <w:spacing w:before="0" w:after="0" w:line="240" w:lineRule="auto"/>
      <w:jc w:val="left"/>
    </w:pPr>
    <w:rPr>
      <w:rFonts w:ascii="黑体" w:hAnsi="黑体" w:eastAsia="仿宋_GB2312"/>
      <w:bCs w:val="0"/>
      <w:sz w:val="24"/>
    </w:rPr>
  </w:style>
  <w:style w:type="character" w:customStyle="1" w:styleId="86">
    <w:name w:val="标题3 字符"/>
    <w:link w:val="85"/>
    <w:qFormat/>
    <w:uiPriority w:val="0"/>
    <w:rPr>
      <w:rFonts w:ascii="黑体" w:hAnsi="黑体" w:eastAsia="仿宋_GB2312"/>
      <w:b/>
      <w:kern w:val="2"/>
      <w:sz w:val="24"/>
      <w:szCs w:val="32"/>
    </w:rPr>
  </w:style>
  <w:style w:type="character" w:customStyle="1" w:styleId="87">
    <w:name w:val="标题 3 字符"/>
    <w:basedOn w:val="25"/>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Win7w.Com</Company>
  <Pages>21</Pages>
  <Words>9128</Words>
  <Characters>9649</Characters>
  <Lines>81</Lines>
  <Paragraphs>22</Paragraphs>
  <TotalTime>296</TotalTime>
  <ScaleCrop>false</ScaleCrop>
  <LinksUpToDate>false</LinksUpToDate>
  <CharactersWithSpaces>11059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2024-10-17T01:53:00Z</dcterms:created>
  <dc:creator>Win7w</dc:creator>
  <cp:lastModifiedBy>didida</cp:lastModifiedBy>
  <cp:lastPrinted>2025-06-03T07:13:00Z</cp:lastPrinted>
  <dcterms:modified xsi:type="dcterms:W3CDTF">2025-06-05T01:46:15Z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2F72E0D905E545A4869FAF1D6606FF9E</vt:lpwstr>
  </property>
  <property fmtid="{D5CDD505-2E9C-101B-9397-08002B2CF9AE}" pid="4" name="KSOTemplateDocerSaveRecord">
    <vt:lpwstr>eyJoZGlkIjoiOTc1OGEyZDZjNDhkMTQyZDBhZThiY2NkNmViMTQxMzgiLCJ1c2VySWQiOiI5OTgzNzk4NDgifQ==</vt:lpwstr>
  </property>
</Properties>
</file>